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038728B0" w14:paraId="5C1A07E2" wp14:textId="38154051">
      <w:pPr>
        <w:jc w:val="center"/>
        <w:rPr>
          <w:b w:val="1"/>
          <w:bCs w:val="1"/>
        </w:rPr>
      </w:pPr>
      <w:r w:rsidRPr="038728B0" w:rsidR="038728B0">
        <w:rPr>
          <w:b w:val="1"/>
          <w:bCs w:val="1"/>
        </w:rPr>
        <w:t>Temáticas de CAD por año</w:t>
      </w:r>
    </w:p>
    <w:tbl>
      <w:tblPr>
        <w:tblStyle w:val="TableGrid"/>
        <w:tblW w:w="0" w:type="auto"/>
        <w:tblLayout w:type="fixed"/>
        <w:tblLook w:val="06A0" w:firstRow="1" w:lastRow="0" w:firstColumn="1" w:lastColumn="0" w:noHBand="1" w:noVBand="1"/>
      </w:tblPr>
      <w:tblGrid>
        <w:gridCol w:w="1935"/>
        <w:gridCol w:w="7192"/>
      </w:tblGrid>
      <w:tr w:rsidR="038728B0" w:rsidTr="038728B0" w14:paraId="5E0650ED">
        <w:trPr>
          <w:trHeight w:val="300"/>
        </w:trPr>
        <w:tc>
          <w:tcPr>
            <w:tcW w:w="1935" w:type="dxa"/>
            <w:tcBorders>
              <w:top w:val="single" w:color="000000" w:themeColor="text1" w:sz="4"/>
              <w:left w:val="single" w:color="000000" w:themeColor="text1" w:sz="4"/>
              <w:bottom w:val="single" w:color="000000" w:themeColor="text1" w:sz="4"/>
              <w:right w:val="single" w:color="000000" w:themeColor="text1" w:sz="4"/>
            </w:tcBorders>
            <w:shd w:val="clear" w:color="auto" w:fill="E7E6E6" w:themeFill="background2"/>
            <w:tcMar/>
            <w:vAlign w:val="bottom"/>
          </w:tcPr>
          <w:p w:rsidR="038728B0" w:rsidP="038728B0" w:rsidRDefault="038728B0" w14:paraId="1D43B437" w14:textId="6574FF9F">
            <w:pPr>
              <w:jc w:val="center"/>
            </w:pPr>
            <w:r w:rsidRPr="038728B0" w:rsidR="038728B0">
              <w:rPr>
                <w:rFonts w:ascii="Calibri" w:hAnsi="Calibri" w:eastAsia="Calibri" w:cs="Calibri"/>
                <w:b w:val="1"/>
                <w:bCs w:val="1"/>
                <w:i w:val="0"/>
                <w:iCs w:val="0"/>
                <w:strike w:val="0"/>
                <w:dstrike w:val="0"/>
                <w:color w:val="000000" w:themeColor="text1" w:themeTint="FF" w:themeShade="FF"/>
                <w:sz w:val="22"/>
                <w:szCs w:val="22"/>
                <w:u w:val="none"/>
              </w:rPr>
              <w:t xml:space="preserve">Año </w:t>
            </w:r>
          </w:p>
        </w:tc>
        <w:tc>
          <w:tcPr>
            <w:tcW w:w="7192" w:type="dxa"/>
            <w:tcBorders>
              <w:top w:val="single" w:color="000000" w:themeColor="text1" w:sz="4"/>
              <w:left w:val="single" w:color="000000" w:themeColor="text1" w:sz="4"/>
              <w:bottom w:val="single" w:color="000000" w:themeColor="text1" w:sz="4"/>
              <w:right w:val="single" w:color="000000" w:themeColor="text1" w:sz="4"/>
            </w:tcBorders>
            <w:shd w:val="clear" w:color="auto" w:fill="E7E6E6" w:themeFill="background2"/>
            <w:tcMar/>
            <w:vAlign w:val="bottom"/>
          </w:tcPr>
          <w:p w:rsidR="038728B0" w:rsidP="038728B0" w:rsidRDefault="038728B0" w14:paraId="7983F6E1" w14:textId="3FF30E92">
            <w:pPr>
              <w:jc w:val="center"/>
            </w:pPr>
            <w:r w:rsidRPr="038728B0" w:rsidR="038728B0">
              <w:rPr>
                <w:rFonts w:ascii="Calibri" w:hAnsi="Calibri" w:eastAsia="Calibri" w:cs="Calibri"/>
                <w:b w:val="1"/>
                <w:bCs w:val="1"/>
                <w:i w:val="0"/>
                <w:iCs w:val="0"/>
                <w:strike w:val="0"/>
                <w:dstrike w:val="0"/>
                <w:color w:val="000000" w:themeColor="text1" w:themeTint="FF" w:themeShade="FF"/>
                <w:sz w:val="22"/>
                <w:szCs w:val="22"/>
                <w:u w:val="none"/>
              </w:rPr>
              <w:t>Temática</w:t>
            </w:r>
          </w:p>
        </w:tc>
      </w:tr>
      <w:tr w:rsidR="038728B0" w:rsidTr="038728B0" w14:paraId="0F618687">
        <w:trPr>
          <w:trHeight w:val="300"/>
        </w:trPr>
        <w:tc>
          <w:tcPr>
            <w:tcW w:w="1935" w:type="dxa"/>
            <w:vMerge w:val="restart"/>
            <w:tcBorders>
              <w:top w:val="single" w:color="000000" w:themeColor="text1" w:sz="4"/>
              <w:left w:val="single" w:color="000000" w:themeColor="text1" w:sz="4"/>
              <w:bottom w:val="nil"/>
              <w:right w:val="single" w:color="000000" w:themeColor="text1" w:sz="4"/>
            </w:tcBorders>
            <w:tcMar/>
            <w:vAlign w:val="center"/>
          </w:tcPr>
          <w:p w:rsidR="038728B0" w:rsidP="038728B0" w:rsidRDefault="038728B0" w14:paraId="27EB83DD" w14:textId="66779AC7">
            <w:pPr>
              <w:jc w:val="center"/>
            </w:pPr>
            <w:r w:rsidRPr="038728B0" w:rsidR="038728B0">
              <w:rPr>
                <w:rFonts w:ascii="Calibri" w:hAnsi="Calibri" w:eastAsia="Calibri" w:cs="Calibri"/>
                <w:b w:val="0"/>
                <w:bCs w:val="0"/>
                <w:i w:val="0"/>
                <w:iCs w:val="0"/>
                <w:strike w:val="0"/>
                <w:dstrike w:val="0"/>
                <w:color w:val="000000" w:themeColor="text1" w:themeTint="FF" w:themeShade="FF"/>
                <w:sz w:val="28"/>
                <w:szCs w:val="28"/>
                <w:u w:val="none"/>
              </w:rPr>
              <w:t>2019</w:t>
            </w:r>
          </w:p>
        </w:tc>
        <w:tc>
          <w:tcPr>
            <w:tcW w:w="7192"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038728B0" w:rsidRDefault="038728B0" w14:paraId="30F8DD33" w14:textId="608CE38C">
            <w:r w:rsidRPr="038728B0" w:rsidR="038728B0">
              <w:rPr>
                <w:rFonts w:ascii="Calibri" w:hAnsi="Calibri" w:eastAsia="Calibri" w:cs="Calibri"/>
                <w:b w:val="0"/>
                <w:bCs w:val="0"/>
                <w:i w:val="0"/>
                <w:iCs w:val="0"/>
                <w:strike w:val="0"/>
                <w:dstrike w:val="0"/>
                <w:color w:val="000000" w:themeColor="text1" w:themeTint="FF" w:themeShade="FF"/>
                <w:sz w:val="22"/>
                <w:szCs w:val="22"/>
                <w:u w:val="none"/>
              </w:rPr>
              <w:t>Evaluación en áreas STEM</w:t>
            </w:r>
          </w:p>
        </w:tc>
      </w:tr>
      <w:tr w:rsidR="038728B0" w:rsidTr="038728B0" w14:paraId="22D69BE8">
        <w:trPr>
          <w:trHeight w:val="300"/>
        </w:trPr>
        <w:tc>
          <w:tcPr>
            <w:tcW w:w="1935" w:type="dxa"/>
            <w:vMerge/>
            <w:tcBorders>
              <w:top w:sz="0"/>
              <w:left w:val="single" w:color="000000" w:themeColor="text1" w:sz="0"/>
              <w:bottom w:sz="0"/>
              <w:right w:val="single" w:color="000000" w:themeColor="text1" w:sz="0"/>
            </w:tcBorders>
            <w:tcMar/>
            <w:vAlign w:val="center"/>
          </w:tcPr>
          <w:p w14:paraId="36374E40"/>
        </w:tc>
        <w:tc>
          <w:tcPr>
            <w:tcW w:w="7192"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038728B0" w:rsidRDefault="038728B0" w14:paraId="743587E9" w14:textId="34D48FB0">
            <w:r w:rsidRPr="038728B0" w:rsidR="038728B0">
              <w:rPr>
                <w:rFonts w:ascii="Calibri" w:hAnsi="Calibri" w:eastAsia="Calibri" w:cs="Calibri"/>
                <w:b w:val="0"/>
                <w:bCs w:val="0"/>
                <w:i w:val="0"/>
                <w:iCs w:val="0"/>
                <w:strike w:val="0"/>
                <w:dstrike w:val="0"/>
                <w:color w:val="000000" w:themeColor="text1" w:themeTint="FF" w:themeShade="FF"/>
                <w:sz w:val="22"/>
                <w:szCs w:val="22"/>
                <w:u w:val="none"/>
              </w:rPr>
              <w:t>¿Cómo el "contagio" emocional puede afectar el aprendizaje en el aula?</w:t>
            </w:r>
          </w:p>
        </w:tc>
      </w:tr>
      <w:tr w:rsidR="038728B0" w:rsidTr="038728B0" w14:paraId="53FC1EFC">
        <w:trPr>
          <w:trHeight w:val="300"/>
        </w:trPr>
        <w:tc>
          <w:tcPr>
            <w:tcW w:w="1935" w:type="dxa"/>
            <w:vMerge/>
            <w:tcBorders>
              <w:top w:sz="0"/>
              <w:left w:val="single" w:color="000000" w:themeColor="text1" w:sz="0"/>
              <w:bottom w:sz="0"/>
              <w:right w:val="single" w:color="000000" w:themeColor="text1" w:sz="0"/>
            </w:tcBorders>
            <w:tcMar/>
            <w:vAlign w:val="center"/>
          </w:tcPr>
          <w:p w14:paraId="1B555011"/>
        </w:tc>
        <w:tc>
          <w:tcPr>
            <w:tcW w:w="7192"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038728B0" w:rsidRDefault="038728B0" w14:paraId="19897C98" w14:textId="134CD108">
            <w:r w:rsidRPr="038728B0" w:rsidR="038728B0">
              <w:rPr>
                <w:rFonts w:ascii="Calibri" w:hAnsi="Calibri" w:eastAsia="Calibri" w:cs="Calibri"/>
                <w:b w:val="0"/>
                <w:bCs w:val="0"/>
                <w:i w:val="0"/>
                <w:iCs w:val="0"/>
                <w:strike w:val="0"/>
                <w:dstrike w:val="0"/>
                <w:color w:val="000000" w:themeColor="text1" w:themeTint="FF" w:themeShade="FF"/>
                <w:sz w:val="22"/>
                <w:szCs w:val="22"/>
                <w:u w:val="none"/>
              </w:rPr>
              <w:t>¿</w:t>
            </w:r>
            <w:proofErr w:type="spellStart"/>
            <w:r w:rsidRPr="038728B0" w:rsidR="038728B0">
              <w:rPr>
                <w:rFonts w:ascii="Calibri" w:hAnsi="Calibri" w:eastAsia="Calibri" w:cs="Calibri"/>
                <w:b w:val="0"/>
                <w:bCs w:val="0"/>
                <w:i w:val="0"/>
                <w:iCs w:val="0"/>
                <w:strike w:val="0"/>
                <w:dstrike w:val="0"/>
                <w:color w:val="000000" w:themeColor="text1" w:themeTint="FF" w:themeShade="FF"/>
                <w:sz w:val="22"/>
                <w:szCs w:val="22"/>
                <w:u w:val="none"/>
              </w:rPr>
              <w:t>Cuali</w:t>
            </w:r>
            <w:proofErr w:type="spellEnd"/>
            <w:r w:rsidRPr="038728B0" w:rsidR="038728B0">
              <w:rPr>
                <w:rFonts w:ascii="Calibri" w:hAnsi="Calibri" w:eastAsia="Calibri" w:cs="Calibri"/>
                <w:b w:val="0"/>
                <w:bCs w:val="0"/>
                <w:i w:val="0"/>
                <w:iCs w:val="0"/>
                <w:strike w:val="0"/>
                <w:dstrike w:val="0"/>
                <w:color w:val="000000" w:themeColor="text1" w:themeTint="FF" w:themeShade="FF"/>
                <w:sz w:val="22"/>
                <w:szCs w:val="22"/>
                <w:u w:val="none"/>
              </w:rPr>
              <w:t xml:space="preserve"> o Cuanti? ¿Cuál es la mejor forma de investigar en el aula?</w:t>
            </w:r>
          </w:p>
        </w:tc>
      </w:tr>
      <w:tr w:rsidR="038728B0" w:rsidTr="038728B0" w14:paraId="20D9E8A4">
        <w:trPr>
          <w:trHeight w:val="300"/>
        </w:trPr>
        <w:tc>
          <w:tcPr>
            <w:tcW w:w="1935" w:type="dxa"/>
            <w:vMerge/>
            <w:tcBorders>
              <w:top w:sz="0"/>
              <w:left w:val="single" w:color="000000" w:themeColor="text1" w:sz="0"/>
              <w:bottom w:sz="0"/>
              <w:right w:val="single" w:color="000000" w:themeColor="text1" w:sz="0"/>
            </w:tcBorders>
            <w:tcMar/>
            <w:vAlign w:val="center"/>
          </w:tcPr>
          <w:p w14:paraId="6A934938"/>
        </w:tc>
        <w:tc>
          <w:tcPr>
            <w:tcW w:w="7192"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038728B0" w:rsidRDefault="038728B0" w14:paraId="57731B44" w14:textId="0A778DCD">
            <w:r w:rsidRPr="038728B0" w:rsidR="038728B0">
              <w:rPr>
                <w:rFonts w:ascii="Calibri" w:hAnsi="Calibri" w:eastAsia="Calibri" w:cs="Calibri"/>
                <w:b w:val="0"/>
                <w:bCs w:val="0"/>
                <w:i w:val="0"/>
                <w:iCs w:val="0"/>
                <w:strike w:val="0"/>
                <w:dstrike w:val="0"/>
                <w:color w:val="000000" w:themeColor="text1" w:themeTint="FF" w:themeShade="FF"/>
                <w:sz w:val="22"/>
                <w:szCs w:val="22"/>
                <w:u w:val="none"/>
              </w:rPr>
              <w:t>Cátedra Compartida</w:t>
            </w:r>
          </w:p>
        </w:tc>
      </w:tr>
      <w:tr w:rsidR="038728B0" w:rsidTr="038728B0" w14:paraId="140643CF">
        <w:trPr>
          <w:trHeight w:val="300"/>
        </w:trPr>
        <w:tc>
          <w:tcPr>
            <w:tcW w:w="1935" w:type="dxa"/>
            <w:vMerge/>
            <w:tcBorders>
              <w:top w:sz="0"/>
              <w:left w:val="single" w:color="000000" w:themeColor="text1" w:sz="0"/>
              <w:bottom w:sz="0"/>
              <w:right w:val="single" w:color="000000" w:themeColor="text1" w:sz="0"/>
            </w:tcBorders>
            <w:tcMar/>
            <w:vAlign w:val="center"/>
          </w:tcPr>
          <w:p w14:paraId="3CCD7AD8"/>
        </w:tc>
        <w:tc>
          <w:tcPr>
            <w:tcW w:w="7192"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038728B0" w:rsidRDefault="038728B0" w14:paraId="681559F5" w14:textId="1D73E17B">
            <w:r w:rsidRPr="038728B0" w:rsidR="038728B0">
              <w:rPr>
                <w:rFonts w:ascii="Calibri" w:hAnsi="Calibri" w:eastAsia="Calibri" w:cs="Calibri"/>
                <w:b w:val="0"/>
                <w:bCs w:val="0"/>
                <w:i w:val="0"/>
                <w:iCs w:val="0"/>
                <w:strike w:val="0"/>
                <w:dstrike w:val="0"/>
                <w:color w:val="000000" w:themeColor="text1" w:themeTint="FF" w:themeShade="FF"/>
                <w:sz w:val="22"/>
                <w:szCs w:val="22"/>
                <w:u w:val="none"/>
              </w:rPr>
              <w:t>Construcción de casos para la evaluación del aprendizaje</w:t>
            </w:r>
          </w:p>
        </w:tc>
      </w:tr>
      <w:tr w:rsidR="038728B0" w:rsidTr="038728B0" w14:paraId="7DB96192">
        <w:trPr>
          <w:trHeight w:val="300"/>
        </w:trPr>
        <w:tc>
          <w:tcPr>
            <w:tcW w:w="1935" w:type="dxa"/>
            <w:vMerge/>
            <w:tcBorders>
              <w:top w:sz="0"/>
              <w:left w:val="single" w:color="000000" w:themeColor="text1" w:sz="0"/>
              <w:bottom w:sz="0"/>
              <w:right w:val="single" w:color="000000" w:themeColor="text1" w:sz="0"/>
            </w:tcBorders>
            <w:tcMar/>
            <w:vAlign w:val="center"/>
          </w:tcPr>
          <w:p w14:paraId="05654F45"/>
        </w:tc>
        <w:tc>
          <w:tcPr>
            <w:tcW w:w="7192"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038728B0" w:rsidRDefault="038728B0" w14:paraId="2C2D0F72" w14:textId="68F384DB">
            <w:r w:rsidRPr="038728B0" w:rsidR="038728B0">
              <w:rPr>
                <w:rFonts w:ascii="Calibri" w:hAnsi="Calibri" w:eastAsia="Calibri" w:cs="Calibri"/>
                <w:b w:val="0"/>
                <w:bCs w:val="0"/>
                <w:i w:val="0"/>
                <w:iCs w:val="0"/>
                <w:strike w:val="0"/>
                <w:dstrike w:val="0"/>
                <w:color w:val="000000" w:themeColor="text1" w:themeTint="FF" w:themeShade="FF"/>
                <w:sz w:val="22"/>
                <w:szCs w:val="22"/>
                <w:u w:val="none"/>
              </w:rPr>
              <w:t>Del aula al laboratorio financiero</w:t>
            </w:r>
          </w:p>
        </w:tc>
      </w:tr>
      <w:tr w:rsidR="038728B0" w:rsidTr="038728B0" w14:paraId="7C78612B">
        <w:trPr>
          <w:trHeight w:val="615"/>
        </w:trPr>
        <w:tc>
          <w:tcPr>
            <w:tcW w:w="1935" w:type="dxa"/>
            <w:vMerge/>
            <w:tcBorders>
              <w:top w:sz="0"/>
              <w:left w:val="single" w:color="000000" w:themeColor="text1" w:sz="0"/>
              <w:bottom w:sz="0"/>
              <w:right w:val="single" w:color="000000" w:themeColor="text1" w:sz="0"/>
            </w:tcBorders>
            <w:tcMar/>
            <w:vAlign w:val="center"/>
          </w:tcPr>
          <w:p w14:paraId="6E2639E5"/>
        </w:tc>
        <w:tc>
          <w:tcPr>
            <w:tcW w:w="7192"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038728B0" w:rsidRDefault="038728B0" w14:paraId="53D85C0C" w14:textId="32D0A458">
            <w:r w:rsidRPr="038728B0" w:rsidR="038728B0">
              <w:rPr>
                <w:rFonts w:ascii="Calibri" w:hAnsi="Calibri" w:eastAsia="Calibri" w:cs="Calibri"/>
                <w:b w:val="0"/>
                <w:bCs w:val="0"/>
                <w:i w:val="0"/>
                <w:iCs w:val="0"/>
                <w:strike w:val="0"/>
                <w:dstrike w:val="0"/>
                <w:color w:val="000000" w:themeColor="text1" w:themeTint="FF" w:themeShade="FF"/>
                <w:sz w:val="22"/>
                <w:szCs w:val="22"/>
                <w:u w:val="none"/>
              </w:rPr>
              <w:t>Promoción del pensamiento ético y estrategias pedagógicas para el desarrollo del razonamiento ético en Uninorte.</w:t>
            </w:r>
          </w:p>
        </w:tc>
      </w:tr>
      <w:tr w:rsidR="038728B0" w:rsidTr="038728B0" w14:paraId="7A93DAF6">
        <w:trPr>
          <w:trHeight w:val="300"/>
        </w:trPr>
        <w:tc>
          <w:tcPr>
            <w:tcW w:w="1935" w:type="dxa"/>
            <w:vMerge/>
            <w:tcBorders>
              <w:top w:sz="0"/>
              <w:left w:val="single" w:color="000000" w:themeColor="text1" w:sz="0"/>
              <w:bottom w:sz="0"/>
              <w:right w:val="single" w:color="000000" w:themeColor="text1" w:sz="0"/>
            </w:tcBorders>
            <w:tcMar/>
            <w:vAlign w:val="center"/>
          </w:tcPr>
          <w:p w14:paraId="4D091E50"/>
        </w:tc>
        <w:tc>
          <w:tcPr>
            <w:tcW w:w="7192"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038728B0" w:rsidRDefault="038728B0" w14:paraId="22444366" w14:textId="4E28668A">
            <w:r w:rsidRPr="038728B0" w:rsidR="038728B0">
              <w:rPr>
                <w:rFonts w:ascii="Calibri" w:hAnsi="Calibri" w:eastAsia="Calibri" w:cs="Calibri"/>
                <w:b w:val="0"/>
                <w:bCs w:val="0"/>
                <w:i w:val="0"/>
                <w:iCs w:val="0"/>
                <w:strike w:val="0"/>
                <w:dstrike w:val="0"/>
                <w:color w:val="000000" w:themeColor="text1" w:themeTint="FF" w:themeShade="FF"/>
                <w:sz w:val="22"/>
                <w:szCs w:val="22"/>
                <w:u w:val="none"/>
              </w:rPr>
              <w:t>El poder de los datos: Fomento del razonamiento cuantitativo en todas las disciplinas</w:t>
            </w:r>
          </w:p>
        </w:tc>
      </w:tr>
      <w:tr w:rsidR="038728B0" w:rsidTr="038728B0" w14:paraId="3B1A237C">
        <w:trPr>
          <w:trHeight w:val="300"/>
        </w:trPr>
        <w:tc>
          <w:tcPr>
            <w:tcW w:w="1935" w:type="dxa"/>
            <w:vMerge/>
            <w:tcBorders>
              <w:top w:sz="0"/>
              <w:left w:val="single" w:color="000000" w:themeColor="text1" w:sz="0"/>
              <w:bottom w:sz="0"/>
              <w:right w:val="single" w:color="000000" w:themeColor="text1" w:sz="0"/>
            </w:tcBorders>
            <w:tcMar/>
            <w:vAlign w:val="center"/>
          </w:tcPr>
          <w:p w14:paraId="21E473EB"/>
        </w:tc>
        <w:tc>
          <w:tcPr>
            <w:tcW w:w="7192"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038728B0" w:rsidRDefault="038728B0" w14:paraId="565A1C89" w14:textId="1EEA3A58">
            <w:r w:rsidRPr="038728B0" w:rsidR="038728B0">
              <w:rPr>
                <w:rFonts w:ascii="Calibri" w:hAnsi="Calibri" w:eastAsia="Calibri" w:cs="Calibri"/>
                <w:b w:val="0"/>
                <w:bCs w:val="0"/>
                <w:i w:val="0"/>
                <w:iCs w:val="0"/>
                <w:strike w:val="0"/>
                <w:dstrike w:val="0"/>
                <w:color w:val="000000" w:themeColor="text1" w:themeTint="FF" w:themeShade="FF"/>
                <w:sz w:val="22"/>
                <w:szCs w:val="22"/>
                <w:u w:val="none"/>
              </w:rPr>
              <w:t>EMI: English as a medium of instruction</w:t>
            </w:r>
          </w:p>
        </w:tc>
      </w:tr>
      <w:tr w:rsidR="038728B0" w:rsidTr="038728B0" w14:paraId="06F08D8F">
        <w:trPr>
          <w:trHeight w:val="300"/>
        </w:trPr>
        <w:tc>
          <w:tcPr>
            <w:tcW w:w="1935" w:type="dxa"/>
            <w:vMerge/>
            <w:tcBorders>
              <w:top w:sz="0"/>
              <w:left w:val="single" w:color="000000" w:themeColor="text1" w:sz="0"/>
              <w:bottom w:sz="0"/>
              <w:right w:val="single" w:color="000000" w:themeColor="text1" w:sz="0"/>
            </w:tcBorders>
            <w:tcMar/>
            <w:vAlign w:val="center"/>
          </w:tcPr>
          <w:p w14:paraId="666B1E90"/>
        </w:tc>
        <w:tc>
          <w:tcPr>
            <w:tcW w:w="7192"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038728B0" w:rsidRDefault="038728B0" w14:paraId="3434ABAF" w14:textId="55EE486D">
            <w:r w:rsidRPr="038728B0" w:rsidR="038728B0">
              <w:rPr>
                <w:rFonts w:ascii="Calibri" w:hAnsi="Calibri" w:eastAsia="Calibri" w:cs="Calibri"/>
                <w:b w:val="0"/>
                <w:bCs w:val="0"/>
                <w:i w:val="0"/>
                <w:iCs w:val="0"/>
                <w:strike w:val="0"/>
                <w:dstrike w:val="0"/>
                <w:color w:val="000000" w:themeColor="text1" w:themeTint="FF" w:themeShade="FF"/>
                <w:sz w:val="22"/>
                <w:szCs w:val="22"/>
                <w:u w:val="none"/>
              </w:rPr>
              <w:t>Implementación de estrategias para reducir el riesgo de repitencia en programas de Ingeniería</w:t>
            </w:r>
          </w:p>
        </w:tc>
      </w:tr>
      <w:tr w:rsidR="038728B0" w:rsidTr="038728B0" w14:paraId="595F8EC9">
        <w:trPr>
          <w:trHeight w:val="300"/>
        </w:trPr>
        <w:tc>
          <w:tcPr>
            <w:tcW w:w="1935" w:type="dxa"/>
            <w:vMerge/>
            <w:tcBorders>
              <w:top w:sz="0"/>
              <w:left w:val="single" w:color="000000" w:themeColor="text1" w:sz="0"/>
              <w:bottom w:sz="0"/>
              <w:right w:val="single" w:color="000000" w:themeColor="text1" w:sz="0"/>
            </w:tcBorders>
            <w:tcMar/>
            <w:vAlign w:val="center"/>
          </w:tcPr>
          <w:p w14:paraId="70C19C94"/>
        </w:tc>
        <w:tc>
          <w:tcPr>
            <w:tcW w:w="7192"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038728B0" w:rsidRDefault="038728B0" w14:paraId="2DE27667" w14:textId="7B51A26A">
            <w:r w:rsidRPr="038728B0" w:rsidR="038728B0">
              <w:rPr>
                <w:rFonts w:ascii="Calibri" w:hAnsi="Calibri" w:eastAsia="Calibri" w:cs="Calibri"/>
                <w:b w:val="0"/>
                <w:bCs w:val="0"/>
                <w:i w:val="0"/>
                <w:iCs w:val="0"/>
                <w:strike w:val="0"/>
                <w:dstrike w:val="0"/>
                <w:color w:val="000000" w:themeColor="text1" w:themeTint="FF" w:themeShade="FF"/>
                <w:sz w:val="22"/>
                <w:szCs w:val="22"/>
                <w:u w:val="none"/>
              </w:rPr>
              <w:t>Gamificación y juegos serios</w:t>
            </w:r>
          </w:p>
        </w:tc>
      </w:tr>
      <w:tr w:rsidR="038728B0" w:rsidTr="038728B0" w14:paraId="3BBB56C8">
        <w:trPr>
          <w:trHeight w:val="300"/>
        </w:trPr>
        <w:tc>
          <w:tcPr>
            <w:tcW w:w="1935" w:type="dxa"/>
            <w:vMerge/>
            <w:tcBorders>
              <w:top w:sz="0"/>
              <w:left w:val="single" w:color="000000" w:themeColor="text1" w:sz="0"/>
              <w:bottom w:sz="0"/>
              <w:right w:val="single" w:color="000000" w:themeColor="text1" w:sz="0"/>
            </w:tcBorders>
            <w:tcMar/>
            <w:vAlign w:val="center"/>
          </w:tcPr>
          <w:p w14:paraId="7A03E868"/>
        </w:tc>
        <w:tc>
          <w:tcPr>
            <w:tcW w:w="7192"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038728B0" w:rsidRDefault="038728B0" w14:paraId="6EAD9FB2" w14:textId="370E1D79">
            <w:r w:rsidRPr="038728B0" w:rsidR="038728B0">
              <w:rPr>
                <w:rFonts w:ascii="Calibri" w:hAnsi="Calibri" w:eastAsia="Calibri" w:cs="Calibri"/>
                <w:b w:val="0"/>
                <w:bCs w:val="0"/>
                <w:i w:val="0"/>
                <w:iCs w:val="0"/>
                <w:strike w:val="0"/>
                <w:dstrike w:val="0"/>
                <w:color w:val="000000" w:themeColor="text1" w:themeTint="FF" w:themeShade="FF"/>
                <w:sz w:val="22"/>
                <w:szCs w:val="22"/>
                <w:u w:val="none"/>
              </w:rPr>
              <w:t>Intervenciones Académicas Transdisciplinares</w:t>
            </w:r>
          </w:p>
        </w:tc>
      </w:tr>
      <w:tr w:rsidR="038728B0" w:rsidTr="038728B0" w14:paraId="48E17854">
        <w:trPr>
          <w:trHeight w:val="300"/>
        </w:trPr>
        <w:tc>
          <w:tcPr>
            <w:tcW w:w="1935" w:type="dxa"/>
            <w:vMerge/>
            <w:tcBorders>
              <w:top w:sz="0"/>
              <w:left w:val="single" w:color="000000" w:themeColor="text1" w:sz="0"/>
              <w:bottom w:sz="0"/>
              <w:right w:val="single" w:color="000000" w:themeColor="text1" w:sz="0"/>
            </w:tcBorders>
            <w:tcMar/>
            <w:vAlign w:val="center"/>
          </w:tcPr>
          <w:p w14:paraId="36ADE2A0"/>
        </w:tc>
        <w:tc>
          <w:tcPr>
            <w:tcW w:w="7192"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038728B0" w:rsidRDefault="038728B0" w14:paraId="7DB567B9" w14:textId="31C5A430">
            <w:r w:rsidRPr="038728B0" w:rsidR="038728B0">
              <w:rPr>
                <w:rFonts w:ascii="Calibri" w:hAnsi="Calibri" w:eastAsia="Calibri" w:cs="Calibri"/>
                <w:b w:val="0"/>
                <w:bCs w:val="0"/>
                <w:i w:val="0"/>
                <w:iCs w:val="0"/>
                <w:strike w:val="0"/>
                <w:dstrike w:val="0"/>
                <w:color w:val="000000" w:themeColor="text1" w:themeTint="FF" w:themeShade="FF"/>
                <w:sz w:val="22"/>
                <w:szCs w:val="22"/>
                <w:u w:val="none"/>
              </w:rPr>
              <w:t>Naturaleza, medioambiente y cultura</w:t>
            </w:r>
          </w:p>
        </w:tc>
      </w:tr>
      <w:tr w:rsidR="038728B0" w:rsidTr="038728B0" w14:paraId="3640BB8A">
        <w:trPr>
          <w:trHeight w:val="300"/>
        </w:trPr>
        <w:tc>
          <w:tcPr>
            <w:tcW w:w="1935" w:type="dxa"/>
            <w:vMerge/>
            <w:tcBorders>
              <w:top w:sz="0"/>
              <w:left w:val="single" w:color="000000" w:themeColor="text1" w:sz="0"/>
              <w:bottom w:sz="0"/>
              <w:right w:val="single" w:color="000000" w:themeColor="text1" w:sz="0"/>
            </w:tcBorders>
            <w:tcMar/>
            <w:vAlign w:val="center"/>
          </w:tcPr>
          <w:p w14:paraId="517C2877"/>
        </w:tc>
        <w:tc>
          <w:tcPr>
            <w:tcW w:w="7192"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038728B0" w:rsidRDefault="038728B0" w14:paraId="4D442C07" w14:textId="5F80C55E">
            <w:r w:rsidRPr="038728B0" w:rsidR="038728B0">
              <w:rPr>
                <w:rFonts w:ascii="Calibri" w:hAnsi="Calibri" w:eastAsia="Calibri" w:cs="Calibri"/>
                <w:b w:val="0"/>
                <w:bCs w:val="0"/>
                <w:i w:val="0"/>
                <w:iCs w:val="0"/>
                <w:strike w:val="0"/>
                <w:dstrike w:val="0"/>
                <w:color w:val="000000" w:themeColor="text1" w:themeTint="FF" w:themeShade="FF"/>
                <w:sz w:val="22"/>
                <w:szCs w:val="22"/>
                <w:u w:val="none"/>
              </w:rPr>
              <w:t>Re-crear: Una comunidad para mover esquemas de pensamiento</w:t>
            </w:r>
          </w:p>
        </w:tc>
      </w:tr>
      <w:tr w:rsidR="038728B0" w:rsidTr="038728B0" w14:paraId="2DD376A7">
        <w:trPr>
          <w:trHeight w:val="300"/>
        </w:trPr>
        <w:tc>
          <w:tcPr>
            <w:tcW w:w="1935" w:type="dxa"/>
            <w:vMerge w:val="restart"/>
            <w:tcBorders>
              <w:top w:val="single" w:color="000000" w:themeColor="text1" w:sz="4"/>
              <w:left w:val="single" w:color="000000" w:themeColor="text1" w:sz="4"/>
              <w:bottom w:val="nil"/>
              <w:right w:val="single" w:color="000000" w:themeColor="text1" w:sz="4"/>
            </w:tcBorders>
            <w:tcMar/>
            <w:vAlign w:val="center"/>
          </w:tcPr>
          <w:p w:rsidR="038728B0" w:rsidP="038728B0" w:rsidRDefault="038728B0" w14:paraId="26E9EC82" w14:textId="6151858F">
            <w:pPr>
              <w:jc w:val="center"/>
            </w:pPr>
            <w:r w:rsidRPr="038728B0" w:rsidR="038728B0">
              <w:rPr>
                <w:rFonts w:ascii="Calibri" w:hAnsi="Calibri" w:eastAsia="Calibri" w:cs="Calibri"/>
                <w:b w:val="0"/>
                <w:bCs w:val="0"/>
                <w:i w:val="0"/>
                <w:iCs w:val="0"/>
                <w:strike w:val="0"/>
                <w:dstrike w:val="0"/>
                <w:color w:val="000000" w:themeColor="text1" w:themeTint="FF" w:themeShade="FF"/>
                <w:sz w:val="28"/>
                <w:szCs w:val="28"/>
                <w:u w:val="none"/>
              </w:rPr>
              <w:t>2020</w:t>
            </w:r>
          </w:p>
        </w:tc>
        <w:tc>
          <w:tcPr>
            <w:tcW w:w="7192"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038728B0" w:rsidRDefault="038728B0" w14:paraId="32A295E2" w14:textId="71E6490D">
            <w:r w:rsidRPr="038728B0" w:rsidR="038728B0">
              <w:rPr>
                <w:rFonts w:ascii="Calibri" w:hAnsi="Calibri" w:eastAsia="Calibri" w:cs="Calibri"/>
                <w:b w:val="0"/>
                <w:bCs w:val="0"/>
                <w:i w:val="0"/>
                <w:iCs w:val="0"/>
                <w:strike w:val="0"/>
                <w:dstrike w:val="0"/>
                <w:color w:val="000000" w:themeColor="text1" w:themeTint="FF" w:themeShade="FF"/>
                <w:sz w:val="22"/>
                <w:szCs w:val="22"/>
                <w:u w:val="none"/>
              </w:rPr>
              <w:t>Efectividad y eficiencia de la evaluación</w:t>
            </w:r>
          </w:p>
        </w:tc>
      </w:tr>
      <w:tr w:rsidR="038728B0" w:rsidTr="038728B0" w14:paraId="080B3328">
        <w:trPr>
          <w:trHeight w:val="300"/>
        </w:trPr>
        <w:tc>
          <w:tcPr>
            <w:tcW w:w="1935" w:type="dxa"/>
            <w:vMerge/>
            <w:tcBorders>
              <w:top w:sz="0"/>
              <w:left w:val="single" w:color="000000" w:themeColor="text1" w:sz="0"/>
              <w:bottom w:sz="0"/>
              <w:right w:val="single" w:color="000000" w:themeColor="text1" w:sz="0"/>
            </w:tcBorders>
            <w:tcMar/>
            <w:vAlign w:val="center"/>
          </w:tcPr>
          <w:p w14:paraId="401375F8"/>
        </w:tc>
        <w:tc>
          <w:tcPr>
            <w:tcW w:w="7192"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038728B0" w:rsidRDefault="038728B0" w14:paraId="4FF7BCAF" w14:textId="63F448FD">
            <w:r w:rsidRPr="038728B0" w:rsidR="038728B0">
              <w:rPr>
                <w:rFonts w:ascii="Calibri" w:hAnsi="Calibri" w:eastAsia="Calibri" w:cs="Calibri"/>
                <w:b w:val="0"/>
                <w:bCs w:val="0"/>
                <w:i w:val="0"/>
                <w:iCs w:val="0"/>
                <w:strike w:val="0"/>
                <w:dstrike w:val="0"/>
                <w:color w:val="000000" w:themeColor="text1" w:themeTint="FF" w:themeShade="FF"/>
                <w:sz w:val="22"/>
                <w:szCs w:val="22"/>
                <w:u w:val="none"/>
              </w:rPr>
              <w:t>Competencia intercultural</w:t>
            </w:r>
          </w:p>
        </w:tc>
      </w:tr>
      <w:tr w:rsidR="038728B0" w:rsidTr="038728B0" w14:paraId="29849319">
        <w:trPr>
          <w:trHeight w:val="300"/>
        </w:trPr>
        <w:tc>
          <w:tcPr>
            <w:tcW w:w="1935" w:type="dxa"/>
            <w:vMerge/>
            <w:tcBorders>
              <w:top w:sz="0"/>
              <w:left w:val="single" w:color="000000" w:themeColor="text1" w:sz="0"/>
              <w:bottom w:sz="0"/>
              <w:right w:val="single" w:color="000000" w:themeColor="text1" w:sz="0"/>
            </w:tcBorders>
            <w:tcMar/>
            <w:vAlign w:val="center"/>
          </w:tcPr>
          <w:p w14:paraId="3FE99879"/>
        </w:tc>
        <w:tc>
          <w:tcPr>
            <w:tcW w:w="7192"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038728B0" w:rsidRDefault="038728B0" w14:paraId="1783007B" w14:textId="593F93E7">
            <w:r w:rsidRPr="038728B0" w:rsidR="038728B0">
              <w:rPr>
                <w:rFonts w:ascii="Calibri" w:hAnsi="Calibri" w:eastAsia="Calibri" w:cs="Calibri"/>
                <w:b w:val="0"/>
                <w:bCs w:val="0"/>
                <w:i w:val="0"/>
                <w:iCs w:val="0"/>
                <w:strike w:val="0"/>
                <w:dstrike w:val="0"/>
                <w:color w:val="000000" w:themeColor="text1" w:themeTint="FF" w:themeShade="FF"/>
                <w:sz w:val="22"/>
                <w:szCs w:val="22"/>
                <w:u w:val="none"/>
              </w:rPr>
              <w:t>El debate como método de enseñanza-aprendizaje</w:t>
            </w:r>
          </w:p>
        </w:tc>
      </w:tr>
      <w:tr w:rsidR="038728B0" w:rsidTr="038728B0" w14:paraId="702269A3">
        <w:trPr>
          <w:trHeight w:val="300"/>
        </w:trPr>
        <w:tc>
          <w:tcPr>
            <w:tcW w:w="1935" w:type="dxa"/>
            <w:vMerge/>
            <w:tcBorders>
              <w:top w:sz="0"/>
              <w:left w:val="single" w:color="000000" w:themeColor="text1" w:sz="0"/>
              <w:bottom w:sz="0"/>
              <w:right w:val="single" w:color="000000" w:themeColor="text1" w:sz="0"/>
            </w:tcBorders>
            <w:tcMar/>
            <w:vAlign w:val="center"/>
          </w:tcPr>
          <w:p w14:paraId="78239F6B"/>
        </w:tc>
        <w:tc>
          <w:tcPr>
            <w:tcW w:w="7192"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038728B0" w:rsidRDefault="038728B0" w14:paraId="6D18EF6A" w14:textId="0A2209C3">
            <w:r w:rsidRPr="038728B0" w:rsidR="038728B0">
              <w:rPr>
                <w:rFonts w:ascii="Calibri" w:hAnsi="Calibri" w:eastAsia="Calibri" w:cs="Calibri"/>
                <w:b w:val="0"/>
                <w:bCs w:val="0"/>
                <w:i w:val="0"/>
                <w:iCs w:val="0"/>
                <w:strike w:val="0"/>
                <w:dstrike w:val="0"/>
                <w:color w:val="000000" w:themeColor="text1" w:themeTint="FF" w:themeShade="FF"/>
                <w:sz w:val="22"/>
                <w:szCs w:val="22"/>
                <w:u w:val="none"/>
              </w:rPr>
              <w:t>El poder de la computación</w:t>
            </w:r>
          </w:p>
        </w:tc>
      </w:tr>
      <w:tr w:rsidR="038728B0" w:rsidTr="038728B0" w14:paraId="7AF7BB46">
        <w:trPr>
          <w:trHeight w:val="300"/>
        </w:trPr>
        <w:tc>
          <w:tcPr>
            <w:tcW w:w="1935" w:type="dxa"/>
            <w:vMerge/>
            <w:tcBorders>
              <w:top w:sz="0"/>
              <w:left w:val="single" w:color="000000" w:themeColor="text1" w:sz="0"/>
              <w:bottom w:sz="0"/>
              <w:right w:val="single" w:color="000000" w:themeColor="text1" w:sz="0"/>
            </w:tcBorders>
            <w:tcMar/>
            <w:vAlign w:val="center"/>
          </w:tcPr>
          <w:p w14:paraId="7F43655A"/>
        </w:tc>
        <w:tc>
          <w:tcPr>
            <w:tcW w:w="7192"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038728B0" w:rsidRDefault="038728B0" w14:paraId="51130B2B" w14:textId="58FCFB07">
            <w:r w:rsidRPr="038728B0" w:rsidR="038728B0">
              <w:rPr>
                <w:rFonts w:ascii="Calibri" w:hAnsi="Calibri" w:eastAsia="Calibri" w:cs="Calibri"/>
                <w:b w:val="0"/>
                <w:bCs w:val="0"/>
                <w:i w:val="0"/>
                <w:iCs w:val="0"/>
                <w:strike w:val="0"/>
                <w:dstrike w:val="0"/>
                <w:color w:val="000000" w:themeColor="text1" w:themeTint="FF" w:themeShade="FF"/>
                <w:sz w:val="22"/>
                <w:szCs w:val="22"/>
                <w:u w:val="none"/>
              </w:rPr>
              <w:t>EMI: English as a medium of instruction</w:t>
            </w:r>
          </w:p>
        </w:tc>
      </w:tr>
      <w:tr w:rsidR="038728B0" w:rsidTr="038728B0" w14:paraId="722570F1">
        <w:trPr>
          <w:trHeight w:val="300"/>
        </w:trPr>
        <w:tc>
          <w:tcPr>
            <w:tcW w:w="1935" w:type="dxa"/>
            <w:vMerge/>
            <w:tcBorders>
              <w:top w:sz="0"/>
              <w:left w:val="single" w:color="000000" w:themeColor="text1" w:sz="0"/>
              <w:bottom w:sz="0"/>
              <w:right w:val="single" w:color="000000" w:themeColor="text1" w:sz="0"/>
            </w:tcBorders>
            <w:tcMar/>
            <w:vAlign w:val="center"/>
          </w:tcPr>
          <w:p w14:paraId="1237C115"/>
        </w:tc>
        <w:tc>
          <w:tcPr>
            <w:tcW w:w="7192"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038728B0" w:rsidRDefault="038728B0" w14:paraId="754C97B0" w14:textId="3C792CCE">
            <w:r w:rsidRPr="038728B0" w:rsidR="038728B0">
              <w:rPr>
                <w:rFonts w:ascii="Calibri" w:hAnsi="Calibri" w:eastAsia="Calibri" w:cs="Calibri"/>
                <w:b w:val="0"/>
                <w:bCs w:val="0"/>
                <w:i w:val="0"/>
                <w:iCs w:val="0"/>
                <w:strike w:val="0"/>
                <w:dstrike w:val="0"/>
                <w:color w:val="000000" w:themeColor="text1" w:themeTint="FF" w:themeShade="FF"/>
                <w:sz w:val="22"/>
                <w:szCs w:val="22"/>
                <w:u w:val="none"/>
              </w:rPr>
              <w:t>Enseñar el futuro: Competencias de los educadores para el desarrollo sostenible</w:t>
            </w:r>
          </w:p>
        </w:tc>
      </w:tr>
      <w:tr w:rsidR="038728B0" w:rsidTr="038728B0" w14:paraId="1A09DB26">
        <w:trPr>
          <w:trHeight w:val="300"/>
        </w:trPr>
        <w:tc>
          <w:tcPr>
            <w:tcW w:w="1935" w:type="dxa"/>
            <w:vMerge/>
            <w:tcBorders>
              <w:top w:sz="0"/>
              <w:left w:val="single" w:color="000000" w:themeColor="text1" w:sz="0"/>
              <w:bottom w:sz="0"/>
              <w:right w:val="single" w:color="000000" w:themeColor="text1" w:sz="0"/>
            </w:tcBorders>
            <w:tcMar/>
            <w:vAlign w:val="center"/>
          </w:tcPr>
          <w:p w14:paraId="53A3A459"/>
        </w:tc>
        <w:tc>
          <w:tcPr>
            <w:tcW w:w="7192"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038728B0" w:rsidRDefault="038728B0" w14:paraId="65B34CEE" w14:textId="1526140B">
            <w:r w:rsidRPr="038728B0" w:rsidR="038728B0">
              <w:rPr>
                <w:rFonts w:ascii="Calibri" w:hAnsi="Calibri" w:eastAsia="Calibri" w:cs="Calibri"/>
                <w:b w:val="0"/>
                <w:bCs w:val="0"/>
                <w:i w:val="0"/>
                <w:iCs w:val="0"/>
                <w:strike w:val="0"/>
                <w:dstrike w:val="0"/>
                <w:color w:val="000000" w:themeColor="text1" w:themeTint="FF" w:themeShade="FF"/>
                <w:sz w:val="22"/>
                <w:szCs w:val="22"/>
                <w:u w:val="none"/>
              </w:rPr>
              <w:t>Narrativa transmedia en educación superior</w:t>
            </w:r>
          </w:p>
        </w:tc>
      </w:tr>
      <w:tr w:rsidR="038728B0" w:rsidTr="038728B0" w14:paraId="68CE6601">
        <w:trPr>
          <w:trHeight w:val="300"/>
        </w:trPr>
        <w:tc>
          <w:tcPr>
            <w:tcW w:w="1935" w:type="dxa"/>
            <w:vMerge/>
            <w:tcBorders>
              <w:top w:sz="0"/>
              <w:left w:val="single" w:color="000000" w:themeColor="text1" w:sz="0"/>
              <w:bottom w:sz="0"/>
              <w:right w:val="single" w:color="000000" w:themeColor="text1" w:sz="0"/>
            </w:tcBorders>
            <w:tcMar/>
            <w:vAlign w:val="center"/>
          </w:tcPr>
          <w:p w14:paraId="2B46DCAC"/>
        </w:tc>
        <w:tc>
          <w:tcPr>
            <w:tcW w:w="7192"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038728B0" w:rsidRDefault="038728B0" w14:paraId="1E30326B" w14:textId="0D3B6593">
            <w:r w:rsidRPr="038728B0" w:rsidR="038728B0">
              <w:rPr>
                <w:rFonts w:ascii="Calibri" w:hAnsi="Calibri" w:eastAsia="Calibri" w:cs="Calibri"/>
                <w:b w:val="0"/>
                <w:bCs w:val="0"/>
                <w:i w:val="0"/>
                <w:iCs w:val="0"/>
                <w:strike w:val="0"/>
                <w:dstrike w:val="0"/>
                <w:color w:val="000000" w:themeColor="text1" w:themeTint="FF" w:themeShade="FF"/>
                <w:sz w:val="22"/>
                <w:szCs w:val="22"/>
                <w:u w:val="none"/>
              </w:rPr>
              <w:t>Nativos digitales: tecnología en las aulas de clase</w:t>
            </w:r>
          </w:p>
        </w:tc>
      </w:tr>
      <w:tr w:rsidR="038728B0" w:rsidTr="038728B0" w14:paraId="1D7552E0">
        <w:trPr>
          <w:trHeight w:val="300"/>
        </w:trPr>
        <w:tc>
          <w:tcPr>
            <w:tcW w:w="1935" w:type="dxa"/>
            <w:vMerge w:val="restart"/>
            <w:tcBorders>
              <w:top w:val="single" w:color="000000" w:themeColor="text1" w:sz="4"/>
              <w:left w:val="single" w:color="000000" w:themeColor="text1" w:sz="4"/>
              <w:bottom w:val="nil"/>
              <w:right w:val="single" w:color="000000" w:themeColor="text1" w:sz="4"/>
            </w:tcBorders>
            <w:tcMar/>
            <w:vAlign w:val="center"/>
          </w:tcPr>
          <w:p w:rsidR="038728B0" w:rsidP="038728B0" w:rsidRDefault="038728B0" w14:paraId="14BAE230" w14:textId="7F6225BC">
            <w:pPr>
              <w:jc w:val="center"/>
            </w:pPr>
            <w:r w:rsidRPr="038728B0" w:rsidR="038728B0">
              <w:rPr>
                <w:rFonts w:ascii="Calibri" w:hAnsi="Calibri" w:eastAsia="Calibri" w:cs="Calibri"/>
                <w:b w:val="0"/>
                <w:bCs w:val="0"/>
                <w:i w:val="0"/>
                <w:iCs w:val="0"/>
                <w:strike w:val="0"/>
                <w:dstrike w:val="0"/>
                <w:color w:val="000000" w:themeColor="text1" w:themeTint="FF" w:themeShade="FF"/>
                <w:sz w:val="28"/>
                <w:szCs w:val="28"/>
                <w:u w:val="none"/>
              </w:rPr>
              <w:t>2021</w:t>
            </w:r>
          </w:p>
        </w:tc>
        <w:tc>
          <w:tcPr>
            <w:tcW w:w="7192"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038728B0" w:rsidRDefault="038728B0" w14:paraId="16476B89" w14:textId="1A45F125">
            <w:r w:rsidRPr="038728B0" w:rsidR="038728B0">
              <w:rPr>
                <w:rFonts w:ascii="Calibri" w:hAnsi="Calibri" w:eastAsia="Calibri" w:cs="Calibri"/>
                <w:b w:val="0"/>
                <w:bCs w:val="0"/>
                <w:i w:val="0"/>
                <w:iCs w:val="0"/>
                <w:strike w:val="0"/>
                <w:dstrike w:val="0"/>
                <w:color w:val="000000" w:themeColor="text1" w:themeTint="FF" w:themeShade="FF"/>
                <w:sz w:val="22"/>
                <w:szCs w:val="22"/>
                <w:u w:val="none"/>
              </w:rPr>
              <w:t xml:space="preserve">Una Educación superior para mentes transformadoras y un mundo sostenible </w:t>
            </w:r>
          </w:p>
        </w:tc>
      </w:tr>
      <w:tr w:rsidR="038728B0" w:rsidTr="038728B0" w14:paraId="76ED2A06">
        <w:trPr>
          <w:trHeight w:val="300"/>
        </w:trPr>
        <w:tc>
          <w:tcPr>
            <w:tcW w:w="1935" w:type="dxa"/>
            <w:vMerge/>
            <w:tcBorders>
              <w:top w:sz="0"/>
              <w:left w:val="single" w:color="000000" w:themeColor="text1" w:sz="0"/>
              <w:bottom w:sz="0"/>
              <w:right w:val="single" w:color="000000" w:themeColor="text1" w:sz="0"/>
            </w:tcBorders>
            <w:tcMar/>
            <w:vAlign w:val="center"/>
          </w:tcPr>
          <w:p w14:paraId="09FBA558"/>
        </w:tc>
        <w:tc>
          <w:tcPr>
            <w:tcW w:w="7192"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038728B0" w:rsidRDefault="038728B0" w14:paraId="7F54BB34" w14:textId="5F41EA9F">
            <w:r w:rsidRPr="038728B0" w:rsidR="038728B0">
              <w:rPr>
                <w:rFonts w:ascii="Calibri" w:hAnsi="Calibri" w:eastAsia="Calibri" w:cs="Calibri"/>
                <w:b w:val="0"/>
                <w:bCs w:val="0"/>
                <w:i w:val="0"/>
                <w:iCs w:val="0"/>
                <w:strike w:val="0"/>
                <w:dstrike w:val="0"/>
                <w:color w:val="000000" w:themeColor="text1" w:themeTint="FF" w:themeShade="FF"/>
                <w:sz w:val="22"/>
                <w:szCs w:val="22"/>
                <w:u w:val="none"/>
              </w:rPr>
              <w:t xml:space="preserve">Diversidad e inclusión  </w:t>
            </w:r>
          </w:p>
        </w:tc>
      </w:tr>
      <w:tr w:rsidR="038728B0" w:rsidTr="038728B0" w14:paraId="054538DE">
        <w:trPr>
          <w:trHeight w:val="300"/>
        </w:trPr>
        <w:tc>
          <w:tcPr>
            <w:tcW w:w="1935" w:type="dxa"/>
            <w:vMerge/>
            <w:tcBorders>
              <w:top w:sz="0"/>
              <w:left w:val="single" w:color="000000" w:themeColor="text1" w:sz="0"/>
              <w:bottom w:sz="0"/>
              <w:right w:val="single" w:color="000000" w:themeColor="text1" w:sz="0"/>
            </w:tcBorders>
            <w:tcMar/>
            <w:vAlign w:val="center"/>
          </w:tcPr>
          <w:p w14:paraId="60B9C2E3"/>
        </w:tc>
        <w:tc>
          <w:tcPr>
            <w:tcW w:w="7192"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038728B0" w:rsidRDefault="038728B0" w14:paraId="60FFC736" w14:textId="54D1E986">
            <w:r w:rsidRPr="038728B0" w:rsidR="038728B0">
              <w:rPr>
                <w:rFonts w:ascii="Calibri" w:hAnsi="Calibri" w:eastAsia="Calibri" w:cs="Calibri"/>
                <w:b w:val="0"/>
                <w:bCs w:val="0"/>
                <w:i w:val="0"/>
                <w:iCs w:val="0"/>
                <w:strike w:val="0"/>
                <w:dstrike w:val="0"/>
                <w:color w:val="000000" w:themeColor="text1" w:themeTint="FF" w:themeShade="FF"/>
                <w:sz w:val="22"/>
                <w:szCs w:val="22"/>
                <w:u w:val="none"/>
              </w:rPr>
              <w:t xml:space="preserve">El poder de la computación </w:t>
            </w:r>
          </w:p>
        </w:tc>
      </w:tr>
      <w:tr w:rsidR="038728B0" w:rsidTr="038728B0" w14:paraId="588BBE56">
        <w:trPr>
          <w:trHeight w:val="300"/>
        </w:trPr>
        <w:tc>
          <w:tcPr>
            <w:tcW w:w="1935" w:type="dxa"/>
            <w:vMerge/>
            <w:tcBorders>
              <w:top w:sz="0"/>
              <w:left w:val="single" w:color="000000" w:themeColor="text1" w:sz="0"/>
              <w:bottom w:sz="0"/>
              <w:right w:val="single" w:color="000000" w:themeColor="text1" w:sz="0"/>
            </w:tcBorders>
            <w:tcMar/>
            <w:vAlign w:val="center"/>
          </w:tcPr>
          <w:p w14:paraId="4C5D8C9B"/>
        </w:tc>
        <w:tc>
          <w:tcPr>
            <w:tcW w:w="7192"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038728B0" w:rsidRDefault="038728B0" w14:paraId="2A3CC0BB" w14:textId="566CA18F">
            <w:r w:rsidRPr="038728B0" w:rsidR="038728B0">
              <w:rPr>
                <w:rFonts w:ascii="Calibri" w:hAnsi="Calibri" w:eastAsia="Calibri" w:cs="Calibri"/>
                <w:b w:val="0"/>
                <w:bCs w:val="0"/>
                <w:i w:val="0"/>
                <w:iCs w:val="0"/>
                <w:strike w:val="0"/>
                <w:dstrike w:val="0"/>
                <w:color w:val="000000" w:themeColor="text1" w:themeTint="FF" w:themeShade="FF"/>
                <w:sz w:val="22"/>
                <w:szCs w:val="22"/>
                <w:u w:val="none"/>
              </w:rPr>
              <w:t xml:space="preserve">Gamificación: Entre la seriedad de la educación y la diversión por aprender </w:t>
            </w:r>
          </w:p>
        </w:tc>
      </w:tr>
      <w:tr w:rsidR="038728B0" w:rsidTr="038728B0" w14:paraId="1270E1A0">
        <w:trPr>
          <w:trHeight w:val="300"/>
        </w:trPr>
        <w:tc>
          <w:tcPr>
            <w:tcW w:w="1935" w:type="dxa"/>
            <w:vMerge/>
            <w:tcBorders>
              <w:top w:sz="0"/>
              <w:left w:val="single" w:color="000000" w:themeColor="text1" w:sz="0"/>
              <w:bottom w:sz="0"/>
              <w:right w:val="single" w:color="000000" w:themeColor="text1" w:sz="0"/>
            </w:tcBorders>
            <w:tcMar/>
            <w:vAlign w:val="center"/>
          </w:tcPr>
          <w:p w14:paraId="11E67A20"/>
        </w:tc>
        <w:tc>
          <w:tcPr>
            <w:tcW w:w="7192"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038728B0" w:rsidRDefault="038728B0" w14:paraId="5479384B" w14:textId="06863AB9">
            <w:r w:rsidRPr="038728B0" w:rsidR="038728B0">
              <w:rPr>
                <w:rFonts w:ascii="Calibri" w:hAnsi="Calibri" w:eastAsia="Calibri" w:cs="Calibri"/>
                <w:b w:val="0"/>
                <w:bCs w:val="0"/>
                <w:i w:val="0"/>
                <w:iCs w:val="0"/>
                <w:strike w:val="0"/>
                <w:dstrike w:val="0"/>
                <w:color w:val="000000" w:themeColor="text1" w:themeTint="FF" w:themeShade="FF"/>
                <w:sz w:val="22"/>
                <w:szCs w:val="22"/>
                <w:u w:val="none"/>
              </w:rPr>
              <w:t xml:space="preserve">Evolución y evaluación </w:t>
            </w:r>
          </w:p>
        </w:tc>
      </w:tr>
      <w:tr w:rsidR="038728B0" w:rsidTr="038728B0" w14:paraId="36FE64ED">
        <w:trPr>
          <w:trHeight w:val="300"/>
        </w:trPr>
        <w:tc>
          <w:tcPr>
            <w:tcW w:w="1935" w:type="dxa"/>
            <w:vMerge/>
            <w:tcBorders>
              <w:top w:sz="0"/>
              <w:left w:val="single" w:color="000000" w:themeColor="text1" w:sz="0"/>
              <w:bottom w:sz="0"/>
              <w:right w:val="single" w:color="000000" w:themeColor="text1" w:sz="0"/>
            </w:tcBorders>
            <w:tcMar/>
            <w:vAlign w:val="center"/>
          </w:tcPr>
          <w:p w14:paraId="3306B7C4"/>
        </w:tc>
        <w:tc>
          <w:tcPr>
            <w:tcW w:w="7192"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038728B0" w:rsidRDefault="038728B0" w14:paraId="0D2EC84D" w14:textId="3C2D2B7A">
            <w:r w:rsidRPr="038728B0" w:rsidR="038728B0">
              <w:rPr>
                <w:rFonts w:ascii="Calibri" w:hAnsi="Calibri" w:eastAsia="Calibri" w:cs="Calibri"/>
                <w:b w:val="0"/>
                <w:bCs w:val="0"/>
                <w:i w:val="0"/>
                <w:iCs w:val="0"/>
                <w:strike w:val="0"/>
                <w:dstrike w:val="0"/>
                <w:color w:val="000000" w:themeColor="text1" w:themeTint="FF" w:themeShade="FF"/>
                <w:sz w:val="22"/>
                <w:szCs w:val="22"/>
                <w:u w:val="none"/>
              </w:rPr>
              <w:t xml:space="preserve">Saberes compartidos: Integrando desde la interdisciplinariedad  </w:t>
            </w:r>
          </w:p>
        </w:tc>
      </w:tr>
      <w:tr w:rsidR="038728B0" w:rsidTr="038728B0" w14:paraId="248C5370">
        <w:trPr>
          <w:trHeight w:val="300"/>
        </w:trPr>
        <w:tc>
          <w:tcPr>
            <w:tcW w:w="1935" w:type="dxa"/>
            <w:vMerge/>
            <w:tcBorders>
              <w:top w:sz="0"/>
              <w:left w:val="single" w:color="000000" w:themeColor="text1" w:sz="0"/>
              <w:bottom w:sz="0"/>
              <w:right w:val="single" w:color="000000" w:themeColor="text1" w:sz="0"/>
            </w:tcBorders>
            <w:tcMar/>
            <w:vAlign w:val="center"/>
          </w:tcPr>
          <w:p w14:paraId="1A85843F"/>
        </w:tc>
        <w:tc>
          <w:tcPr>
            <w:tcW w:w="7192"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038728B0" w:rsidRDefault="038728B0" w14:paraId="4084DA71" w14:textId="2E8D7481">
            <w:r w:rsidRPr="038728B0" w:rsidR="038728B0">
              <w:rPr>
                <w:rFonts w:ascii="Calibri" w:hAnsi="Calibri" w:eastAsia="Calibri" w:cs="Calibri"/>
                <w:b w:val="0"/>
                <w:bCs w:val="0"/>
                <w:i w:val="0"/>
                <w:iCs w:val="0"/>
                <w:strike w:val="0"/>
                <w:dstrike w:val="0"/>
                <w:color w:val="000000" w:themeColor="text1" w:themeTint="FF" w:themeShade="FF"/>
                <w:sz w:val="22"/>
                <w:szCs w:val="22"/>
                <w:u w:val="none"/>
              </w:rPr>
              <w:t xml:space="preserve">Efectividad y eficiencia de la evaluación </w:t>
            </w:r>
          </w:p>
        </w:tc>
      </w:tr>
      <w:tr w:rsidR="038728B0" w:rsidTr="038728B0" w14:paraId="4BE7B6B3">
        <w:trPr>
          <w:trHeight w:val="300"/>
        </w:trPr>
        <w:tc>
          <w:tcPr>
            <w:tcW w:w="1935" w:type="dxa"/>
            <w:vMerge/>
            <w:tcBorders>
              <w:top w:sz="0"/>
              <w:left w:val="single" w:color="000000" w:themeColor="text1" w:sz="0"/>
              <w:bottom w:sz="0"/>
              <w:right w:val="single" w:color="000000" w:themeColor="text1" w:sz="0"/>
            </w:tcBorders>
            <w:tcMar/>
            <w:vAlign w:val="center"/>
          </w:tcPr>
          <w:p w14:paraId="7AC69FC6"/>
        </w:tc>
        <w:tc>
          <w:tcPr>
            <w:tcW w:w="7192"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038728B0" w:rsidRDefault="038728B0" w14:paraId="46F4D163" w14:textId="415427D8">
            <w:r w:rsidRPr="038728B0" w:rsidR="038728B0">
              <w:rPr>
                <w:rFonts w:ascii="Calibri" w:hAnsi="Calibri" w:eastAsia="Calibri" w:cs="Calibri"/>
                <w:b w:val="0"/>
                <w:bCs w:val="0"/>
                <w:i w:val="0"/>
                <w:iCs w:val="0"/>
                <w:strike w:val="0"/>
                <w:dstrike w:val="0"/>
                <w:color w:val="000000" w:themeColor="text1" w:themeTint="FF" w:themeShade="FF"/>
                <w:sz w:val="22"/>
                <w:szCs w:val="22"/>
                <w:u w:val="none"/>
              </w:rPr>
              <w:t xml:space="preserve">Narrativas transmedia en Educación superior </w:t>
            </w:r>
          </w:p>
        </w:tc>
      </w:tr>
      <w:tr w:rsidR="038728B0" w:rsidTr="038728B0" w14:paraId="57E6B471">
        <w:trPr>
          <w:trHeight w:val="300"/>
        </w:trPr>
        <w:tc>
          <w:tcPr>
            <w:tcW w:w="1935" w:type="dxa"/>
            <w:vMerge/>
            <w:tcBorders>
              <w:top w:sz="0"/>
              <w:left w:val="single" w:color="000000" w:themeColor="text1" w:sz="0"/>
              <w:bottom w:sz="0"/>
              <w:right w:val="single" w:color="000000" w:themeColor="text1" w:sz="0"/>
            </w:tcBorders>
            <w:tcMar/>
            <w:vAlign w:val="center"/>
          </w:tcPr>
          <w:p w14:paraId="302CB214"/>
        </w:tc>
        <w:tc>
          <w:tcPr>
            <w:tcW w:w="7192"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038728B0" w:rsidRDefault="038728B0" w14:paraId="16545441" w14:textId="18666C18">
            <w:r w:rsidRPr="038728B0" w:rsidR="038728B0">
              <w:rPr>
                <w:rFonts w:ascii="Calibri" w:hAnsi="Calibri" w:eastAsia="Calibri" w:cs="Calibri"/>
                <w:b w:val="0"/>
                <w:bCs w:val="0"/>
                <w:i w:val="0"/>
                <w:iCs w:val="0"/>
                <w:strike w:val="0"/>
                <w:dstrike w:val="0"/>
                <w:color w:val="000000" w:themeColor="text1" w:themeTint="FF" w:themeShade="FF"/>
                <w:sz w:val="22"/>
                <w:szCs w:val="22"/>
                <w:u w:val="none"/>
              </w:rPr>
              <w:t xml:space="preserve">Competencia intercultural </w:t>
            </w:r>
          </w:p>
        </w:tc>
      </w:tr>
      <w:tr w:rsidR="038728B0" w:rsidTr="038728B0" w14:paraId="5C22A180">
        <w:trPr>
          <w:trHeight w:val="300"/>
        </w:trPr>
        <w:tc>
          <w:tcPr>
            <w:tcW w:w="1935" w:type="dxa"/>
            <w:vMerge/>
            <w:tcBorders>
              <w:top w:sz="0"/>
              <w:left w:val="single" w:color="000000" w:themeColor="text1" w:sz="0"/>
              <w:bottom w:sz="0"/>
              <w:right w:val="single" w:color="000000" w:themeColor="text1" w:sz="0"/>
            </w:tcBorders>
            <w:tcMar/>
            <w:vAlign w:val="center"/>
          </w:tcPr>
          <w:p w14:paraId="4F9A5D61"/>
        </w:tc>
        <w:tc>
          <w:tcPr>
            <w:tcW w:w="7192" w:type="dxa"/>
            <w:tcBorders>
              <w:top w:val="single" w:color="000000" w:themeColor="text1" w:sz="4"/>
              <w:left w:val="single" w:color="000000" w:themeColor="text1" w:sz="4"/>
              <w:bottom w:val="nil"/>
              <w:right w:val="single" w:color="000000" w:themeColor="text1" w:sz="4"/>
            </w:tcBorders>
            <w:tcMar/>
            <w:vAlign w:val="bottom"/>
          </w:tcPr>
          <w:p w:rsidR="038728B0" w:rsidRDefault="038728B0" w14:paraId="7E84AE16" w14:textId="02D23BC2">
            <w:r w:rsidRPr="038728B0" w:rsidR="038728B0">
              <w:rPr>
                <w:rFonts w:ascii="Calibri" w:hAnsi="Calibri" w:eastAsia="Calibri" w:cs="Calibri"/>
                <w:b w:val="0"/>
                <w:bCs w:val="0"/>
                <w:i w:val="0"/>
                <w:iCs w:val="0"/>
                <w:strike w:val="0"/>
                <w:dstrike w:val="0"/>
                <w:color w:val="000000" w:themeColor="text1" w:themeTint="FF" w:themeShade="FF"/>
                <w:sz w:val="22"/>
                <w:szCs w:val="22"/>
                <w:u w:val="none"/>
              </w:rPr>
              <w:t xml:space="preserve">Creando ambientes de simulación clínica eficaces </w:t>
            </w:r>
          </w:p>
        </w:tc>
      </w:tr>
      <w:tr w:rsidR="038728B0" w:rsidTr="038728B0" w14:paraId="3B462E61">
        <w:trPr>
          <w:trHeight w:val="345"/>
        </w:trPr>
        <w:tc>
          <w:tcPr>
            <w:tcW w:w="1935" w:type="dxa"/>
            <w:vMerge w:val="restart"/>
            <w:tcBorders>
              <w:top w:val="single" w:color="000000" w:themeColor="text1" w:sz="4"/>
              <w:left w:val="single" w:color="000000" w:themeColor="text1" w:sz="4"/>
              <w:bottom w:val="single" w:color="000000" w:themeColor="text1" w:sz="4"/>
              <w:right w:val="single" w:color="000000" w:themeColor="text1" w:sz="4"/>
            </w:tcBorders>
            <w:tcMar/>
            <w:vAlign w:val="center"/>
          </w:tcPr>
          <w:p w:rsidR="038728B0" w:rsidP="038728B0" w:rsidRDefault="038728B0" w14:paraId="249C4577" w14:textId="7133AD70">
            <w:pPr>
              <w:jc w:val="center"/>
            </w:pPr>
            <w:r w:rsidRPr="038728B0" w:rsidR="038728B0">
              <w:rPr>
                <w:rFonts w:ascii="Calibri" w:hAnsi="Calibri" w:eastAsia="Calibri" w:cs="Calibri"/>
                <w:b w:val="0"/>
                <w:bCs w:val="0"/>
                <w:i w:val="0"/>
                <w:iCs w:val="0"/>
                <w:strike w:val="0"/>
                <w:dstrike w:val="0"/>
                <w:color w:val="000000" w:themeColor="text1" w:themeTint="FF" w:themeShade="FF"/>
                <w:sz w:val="28"/>
                <w:szCs w:val="28"/>
                <w:u w:val="none"/>
              </w:rPr>
              <w:t>2022</w:t>
            </w:r>
          </w:p>
        </w:tc>
        <w:tc>
          <w:tcPr>
            <w:tcW w:w="7192"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038728B0" w:rsidRDefault="038728B0" w14:paraId="0655609E" w14:textId="642D0879">
            <w:r w:rsidRPr="038728B0" w:rsidR="038728B0">
              <w:rPr>
                <w:rFonts w:ascii="Calibri" w:hAnsi="Calibri" w:eastAsia="Calibri" w:cs="Calibri"/>
                <w:b w:val="0"/>
                <w:bCs w:val="0"/>
                <w:i w:val="0"/>
                <w:iCs w:val="0"/>
                <w:strike w:val="0"/>
                <w:dstrike w:val="0"/>
                <w:color w:val="000000" w:themeColor="text1" w:themeTint="FF" w:themeShade="FF"/>
                <w:sz w:val="22"/>
                <w:szCs w:val="22"/>
                <w:u w:val="none"/>
              </w:rPr>
              <w:t>Alfabetización crítica en ingeniería</w:t>
            </w:r>
          </w:p>
        </w:tc>
      </w:tr>
      <w:tr w:rsidR="038728B0" w:rsidTr="038728B0" w14:paraId="0F2ADDD1">
        <w:trPr>
          <w:trHeight w:val="300"/>
        </w:trPr>
        <w:tc>
          <w:tcPr>
            <w:tcW w:w="1935" w:type="dxa"/>
            <w:vMerge/>
            <w:tcBorders>
              <w:top w:sz="0"/>
              <w:left w:val="single" w:color="000000" w:themeColor="text1" w:sz="0"/>
              <w:bottom w:sz="0"/>
              <w:right w:val="single" w:color="000000" w:themeColor="text1" w:sz="0"/>
            </w:tcBorders>
            <w:tcMar/>
            <w:vAlign w:val="center"/>
          </w:tcPr>
          <w:p w14:paraId="27C245FA"/>
        </w:tc>
        <w:tc>
          <w:tcPr>
            <w:tcW w:w="7192"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038728B0" w:rsidRDefault="038728B0" w14:paraId="7E244CEA" w14:textId="5255B361">
            <w:r w:rsidRPr="038728B0" w:rsidR="038728B0">
              <w:rPr>
                <w:rFonts w:ascii="Calibri" w:hAnsi="Calibri" w:eastAsia="Calibri" w:cs="Calibri"/>
                <w:b w:val="0"/>
                <w:bCs w:val="0"/>
                <w:i w:val="0"/>
                <w:iCs w:val="0"/>
                <w:strike w:val="0"/>
                <w:dstrike w:val="0"/>
                <w:color w:val="000000" w:themeColor="text1" w:themeTint="FF" w:themeShade="FF"/>
                <w:sz w:val="22"/>
                <w:szCs w:val="22"/>
                <w:u w:val="none"/>
              </w:rPr>
              <w:t>Cambiando paradigmas: de planes de cuidado a mapas de cuidado</w:t>
            </w:r>
          </w:p>
        </w:tc>
      </w:tr>
      <w:tr w:rsidR="038728B0" w:rsidTr="038728B0" w14:paraId="5BAB8CDF">
        <w:trPr>
          <w:trHeight w:val="300"/>
        </w:trPr>
        <w:tc>
          <w:tcPr>
            <w:tcW w:w="1935" w:type="dxa"/>
            <w:vMerge/>
            <w:tcBorders>
              <w:top w:sz="0"/>
              <w:left w:val="single" w:color="000000" w:themeColor="text1" w:sz="0"/>
              <w:bottom w:sz="0"/>
              <w:right w:val="single" w:color="000000" w:themeColor="text1" w:sz="0"/>
            </w:tcBorders>
            <w:tcMar/>
            <w:vAlign w:val="center"/>
          </w:tcPr>
          <w:p w14:paraId="75C67A8A"/>
        </w:tc>
        <w:tc>
          <w:tcPr>
            <w:tcW w:w="7192"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038728B0" w:rsidRDefault="038728B0" w14:paraId="722F55C3" w14:textId="6F557F07">
            <w:r w:rsidRPr="038728B0" w:rsidR="038728B0">
              <w:rPr>
                <w:rFonts w:ascii="Calibri" w:hAnsi="Calibri" w:eastAsia="Calibri" w:cs="Calibri"/>
                <w:b w:val="0"/>
                <w:bCs w:val="0"/>
                <w:i w:val="0"/>
                <w:iCs w:val="0"/>
                <w:strike w:val="0"/>
                <w:dstrike w:val="0"/>
                <w:color w:val="000000" w:themeColor="text1" w:themeTint="FF" w:themeShade="FF"/>
                <w:sz w:val="22"/>
                <w:szCs w:val="22"/>
                <w:u w:val="none"/>
              </w:rPr>
              <w:t>Cursos gamificados, estudiantes más comprometidos</w:t>
            </w:r>
          </w:p>
        </w:tc>
      </w:tr>
      <w:tr w:rsidR="038728B0" w:rsidTr="038728B0" w14:paraId="760FD845">
        <w:trPr>
          <w:trHeight w:val="300"/>
        </w:trPr>
        <w:tc>
          <w:tcPr>
            <w:tcW w:w="1935" w:type="dxa"/>
            <w:vMerge/>
            <w:tcBorders>
              <w:top w:sz="0"/>
              <w:left w:val="single" w:color="000000" w:themeColor="text1" w:sz="0"/>
              <w:bottom w:sz="0"/>
              <w:right w:val="single" w:color="000000" w:themeColor="text1" w:sz="0"/>
            </w:tcBorders>
            <w:tcMar/>
            <w:vAlign w:val="center"/>
          </w:tcPr>
          <w:p w14:paraId="586C3C39"/>
        </w:tc>
        <w:tc>
          <w:tcPr>
            <w:tcW w:w="7192"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038728B0" w:rsidRDefault="038728B0" w14:paraId="50035128" w14:textId="6CBFF8B2">
            <w:r w:rsidRPr="038728B0" w:rsidR="038728B0">
              <w:rPr>
                <w:rFonts w:ascii="Calibri" w:hAnsi="Calibri" w:eastAsia="Calibri" w:cs="Calibri"/>
                <w:b w:val="0"/>
                <w:bCs w:val="0"/>
                <w:i w:val="0"/>
                <w:iCs w:val="0"/>
                <w:strike w:val="0"/>
                <w:dstrike w:val="0"/>
                <w:color w:val="000000" w:themeColor="text1" w:themeTint="FF" w:themeShade="FF"/>
                <w:sz w:val="22"/>
                <w:szCs w:val="22"/>
                <w:u w:val="none"/>
              </w:rPr>
              <w:t>Del dato al relato: razonamiento cuantitativo en las asignaturas</w:t>
            </w:r>
          </w:p>
        </w:tc>
      </w:tr>
      <w:tr w:rsidR="038728B0" w:rsidTr="038728B0" w14:paraId="06BF2A57">
        <w:trPr>
          <w:trHeight w:val="300"/>
        </w:trPr>
        <w:tc>
          <w:tcPr>
            <w:tcW w:w="1935" w:type="dxa"/>
            <w:vMerge/>
            <w:tcBorders>
              <w:top w:sz="0"/>
              <w:left w:val="single" w:color="000000" w:themeColor="text1" w:sz="0"/>
              <w:bottom w:sz="0"/>
              <w:right w:val="single" w:color="000000" w:themeColor="text1" w:sz="0"/>
            </w:tcBorders>
            <w:tcMar/>
            <w:vAlign w:val="center"/>
          </w:tcPr>
          <w:p w14:paraId="0B13903C"/>
        </w:tc>
        <w:tc>
          <w:tcPr>
            <w:tcW w:w="7192"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038728B0" w:rsidRDefault="038728B0" w14:paraId="33896186" w14:textId="653D168B">
            <w:r w:rsidRPr="038728B0" w:rsidR="038728B0">
              <w:rPr>
                <w:rFonts w:ascii="Calibri" w:hAnsi="Calibri" w:eastAsia="Calibri" w:cs="Calibri"/>
                <w:b w:val="0"/>
                <w:bCs w:val="0"/>
                <w:i w:val="0"/>
                <w:iCs w:val="0"/>
                <w:strike w:val="0"/>
                <w:dstrike w:val="0"/>
                <w:color w:val="000000" w:themeColor="text1" w:themeTint="FF" w:themeShade="FF"/>
                <w:sz w:val="22"/>
                <w:szCs w:val="22"/>
                <w:u w:val="none"/>
              </w:rPr>
              <w:t>Equidad de género en la academia</w:t>
            </w:r>
          </w:p>
        </w:tc>
      </w:tr>
      <w:tr w:rsidR="038728B0" w:rsidTr="038728B0" w14:paraId="2323F6A7">
        <w:trPr>
          <w:trHeight w:val="300"/>
        </w:trPr>
        <w:tc>
          <w:tcPr>
            <w:tcW w:w="1935" w:type="dxa"/>
            <w:vMerge/>
            <w:tcBorders>
              <w:top w:sz="0"/>
              <w:left w:val="single" w:color="000000" w:themeColor="text1" w:sz="0"/>
              <w:bottom w:sz="0"/>
              <w:right w:val="single" w:color="000000" w:themeColor="text1" w:sz="0"/>
            </w:tcBorders>
            <w:tcMar/>
            <w:vAlign w:val="center"/>
          </w:tcPr>
          <w:p w14:paraId="5B3EF57A"/>
        </w:tc>
        <w:tc>
          <w:tcPr>
            <w:tcW w:w="7192"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038728B0" w:rsidRDefault="038728B0" w14:paraId="0A6D6B74" w14:textId="7A6F8056">
            <w:r w:rsidRPr="038728B0" w:rsidR="038728B0">
              <w:rPr>
                <w:rFonts w:ascii="Calibri" w:hAnsi="Calibri" w:eastAsia="Calibri" w:cs="Calibri"/>
                <w:b w:val="0"/>
                <w:bCs w:val="0"/>
                <w:i w:val="0"/>
                <w:iCs w:val="0"/>
                <w:strike w:val="0"/>
                <w:dstrike w:val="0"/>
                <w:color w:val="000000" w:themeColor="text1" w:themeTint="FF" w:themeShade="FF"/>
                <w:sz w:val="22"/>
                <w:szCs w:val="22"/>
                <w:u w:val="none"/>
              </w:rPr>
              <w:t>Evaluación de y para el aprendizaje</w:t>
            </w:r>
          </w:p>
        </w:tc>
      </w:tr>
      <w:tr w:rsidR="038728B0" w:rsidTr="038728B0" w14:paraId="54B8A9E2">
        <w:trPr>
          <w:trHeight w:val="300"/>
        </w:trPr>
        <w:tc>
          <w:tcPr>
            <w:tcW w:w="1935" w:type="dxa"/>
            <w:vMerge/>
            <w:tcBorders>
              <w:top w:sz="0"/>
              <w:left w:val="single" w:color="000000" w:themeColor="text1" w:sz="0"/>
              <w:bottom w:sz="0"/>
              <w:right w:val="single" w:color="000000" w:themeColor="text1" w:sz="0"/>
            </w:tcBorders>
            <w:tcMar/>
            <w:vAlign w:val="center"/>
          </w:tcPr>
          <w:p w14:paraId="09811F89"/>
        </w:tc>
        <w:tc>
          <w:tcPr>
            <w:tcW w:w="7192"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038728B0" w:rsidRDefault="038728B0" w14:paraId="4DBB2405" w14:textId="41C349FA">
            <w:r w:rsidRPr="038728B0" w:rsidR="038728B0">
              <w:rPr>
                <w:rFonts w:ascii="Calibri" w:hAnsi="Calibri" w:eastAsia="Calibri" w:cs="Calibri"/>
                <w:b w:val="0"/>
                <w:bCs w:val="0"/>
                <w:i w:val="0"/>
                <w:iCs w:val="0"/>
                <w:strike w:val="0"/>
                <w:dstrike w:val="0"/>
                <w:color w:val="000000" w:themeColor="text1" w:themeTint="FF" w:themeShade="FF"/>
                <w:sz w:val="22"/>
                <w:szCs w:val="22"/>
                <w:u w:val="none"/>
              </w:rPr>
              <w:t xml:space="preserve">Evolución y evaluación </w:t>
            </w:r>
          </w:p>
        </w:tc>
      </w:tr>
      <w:tr w:rsidR="038728B0" w:rsidTr="038728B0" w14:paraId="05048DE6">
        <w:trPr>
          <w:trHeight w:val="300"/>
        </w:trPr>
        <w:tc>
          <w:tcPr>
            <w:tcW w:w="1935" w:type="dxa"/>
            <w:vMerge/>
            <w:tcBorders>
              <w:top w:sz="0"/>
              <w:left w:val="single" w:color="000000" w:themeColor="text1" w:sz="0"/>
              <w:bottom w:sz="0"/>
              <w:right w:val="single" w:color="000000" w:themeColor="text1" w:sz="0"/>
            </w:tcBorders>
            <w:tcMar/>
            <w:vAlign w:val="center"/>
          </w:tcPr>
          <w:p w14:paraId="5FB46488"/>
        </w:tc>
        <w:tc>
          <w:tcPr>
            <w:tcW w:w="7192"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038728B0" w:rsidRDefault="038728B0" w14:paraId="02D219B9" w14:textId="26F0D4E6">
            <w:r w:rsidRPr="038728B0" w:rsidR="038728B0">
              <w:rPr>
                <w:rFonts w:ascii="Calibri" w:hAnsi="Calibri" w:eastAsia="Calibri" w:cs="Calibri"/>
                <w:b w:val="0"/>
                <w:bCs w:val="0"/>
                <w:i w:val="0"/>
                <w:iCs w:val="0"/>
                <w:strike w:val="0"/>
                <w:dstrike w:val="0"/>
                <w:color w:val="000000" w:themeColor="text1" w:themeTint="FF" w:themeShade="FF"/>
                <w:sz w:val="22"/>
                <w:szCs w:val="22"/>
                <w:u w:val="none"/>
              </w:rPr>
              <w:t>Flipped learning para redescubrir la autonomía en los estudiantes</w:t>
            </w:r>
          </w:p>
        </w:tc>
      </w:tr>
      <w:tr w:rsidR="038728B0" w:rsidTr="038728B0" w14:paraId="3360C5C6">
        <w:trPr>
          <w:trHeight w:val="300"/>
        </w:trPr>
        <w:tc>
          <w:tcPr>
            <w:tcW w:w="1935" w:type="dxa"/>
            <w:vMerge/>
            <w:tcBorders>
              <w:top w:sz="0"/>
              <w:left w:val="single" w:color="000000" w:themeColor="text1" w:sz="0"/>
              <w:bottom w:sz="0"/>
              <w:right w:val="single" w:color="000000" w:themeColor="text1" w:sz="0"/>
            </w:tcBorders>
            <w:tcMar/>
            <w:vAlign w:val="center"/>
          </w:tcPr>
          <w:p w14:paraId="75767C2E"/>
        </w:tc>
        <w:tc>
          <w:tcPr>
            <w:tcW w:w="7192"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038728B0" w:rsidRDefault="038728B0" w14:paraId="1BA80DB3" w14:textId="36AE15C4">
            <w:r w:rsidRPr="038728B0" w:rsidR="038728B0">
              <w:rPr>
                <w:rFonts w:ascii="Calibri" w:hAnsi="Calibri" w:eastAsia="Calibri" w:cs="Calibri"/>
                <w:b w:val="0"/>
                <w:bCs w:val="0"/>
                <w:i w:val="0"/>
                <w:iCs w:val="0"/>
                <w:strike w:val="0"/>
                <w:dstrike w:val="0"/>
                <w:color w:val="000000" w:themeColor="text1" w:themeTint="FF" w:themeShade="FF"/>
                <w:sz w:val="22"/>
                <w:szCs w:val="22"/>
                <w:u w:val="none"/>
              </w:rPr>
              <w:t>Investigación y estrategias de enseñanza-aprendizaje de la música</w:t>
            </w:r>
          </w:p>
        </w:tc>
      </w:tr>
      <w:tr w:rsidR="038728B0" w:rsidTr="038728B0" w14:paraId="19598C5F">
        <w:trPr>
          <w:trHeight w:val="300"/>
        </w:trPr>
        <w:tc>
          <w:tcPr>
            <w:tcW w:w="1935" w:type="dxa"/>
            <w:vMerge/>
            <w:tcBorders>
              <w:top w:sz="0"/>
              <w:left w:val="single" w:color="000000" w:themeColor="text1" w:sz="0"/>
              <w:bottom w:sz="0"/>
              <w:right w:val="single" w:color="000000" w:themeColor="text1" w:sz="0"/>
            </w:tcBorders>
            <w:tcMar/>
            <w:vAlign w:val="center"/>
          </w:tcPr>
          <w:p w14:paraId="62BFACD4"/>
        </w:tc>
        <w:tc>
          <w:tcPr>
            <w:tcW w:w="7192"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038728B0" w:rsidRDefault="038728B0" w14:paraId="57726416" w14:textId="6A982452">
            <w:r w:rsidRPr="038728B0" w:rsidR="038728B0">
              <w:rPr>
                <w:rFonts w:ascii="Calibri" w:hAnsi="Calibri" w:eastAsia="Calibri" w:cs="Calibri"/>
                <w:b w:val="0"/>
                <w:bCs w:val="0"/>
                <w:i w:val="0"/>
                <w:iCs w:val="0"/>
                <w:strike w:val="0"/>
                <w:dstrike w:val="0"/>
                <w:color w:val="000000" w:themeColor="text1" w:themeTint="FF" w:themeShade="FF"/>
                <w:sz w:val="22"/>
                <w:szCs w:val="22"/>
                <w:u w:val="none"/>
              </w:rPr>
              <w:t>Learning Factory: inclusión de los estudiantes en las empresas</w:t>
            </w:r>
          </w:p>
        </w:tc>
      </w:tr>
      <w:tr w:rsidR="038728B0" w:rsidTr="038728B0" w14:paraId="26C0DB1A">
        <w:trPr>
          <w:trHeight w:val="300"/>
        </w:trPr>
        <w:tc>
          <w:tcPr>
            <w:tcW w:w="1935" w:type="dxa"/>
            <w:vMerge/>
            <w:tcBorders>
              <w:top w:sz="0"/>
              <w:left w:val="single" w:color="000000" w:themeColor="text1" w:sz="0"/>
              <w:bottom w:sz="0"/>
              <w:right w:val="single" w:color="000000" w:themeColor="text1" w:sz="0"/>
            </w:tcBorders>
            <w:tcMar/>
            <w:vAlign w:val="center"/>
          </w:tcPr>
          <w:p w14:paraId="269803BF"/>
        </w:tc>
        <w:tc>
          <w:tcPr>
            <w:tcW w:w="7192"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038728B0" w:rsidRDefault="038728B0" w14:paraId="3016564D" w14:textId="53E96E26">
            <w:r w:rsidRPr="038728B0" w:rsidR="038728B0">
              <w:rPr>
                <w:rFonts w:ascii="Calibri" w:hAnsi="Calibri" w:eastAsia="Calibri" w:cs="Calibri"/>
                <w:b w:val="0"/>
                <w:bCs w:val="0"/>
                <w:i w:val="0"/>
                <w:iCs w:val="0"/>
                <w:strike w:val="0"/>
                <w:dstrike w:val="0"/>
                <w:color w:val="000000" w:themeColor="text1" w:themeTint="FF" w:themeShade="FF"/>
                <w:sz w:val="22"/>
                <w:szCs w:val="22"/>
                <w:u w:val="none"/>
              </w:rPr>
              <w:t>Rueda la V de la virtualidad</w:t>
            </w:r>
          </w:p>
        </w:tc>
      </w:tr>
      <w:tr w:rsidR="038728B0" w:rsidTr="038728B0" w14:paraId="70B26B9E">
        <w:trPr>
          <w:trHeight w:val="300"/>
        </w:trPr>
        <w:tc>
          <w:tcPr>
            <w:tcW w:w="1935" w:type="dxa"/>
            <w:vMerge/>
            <w:tcBorders>
              <w:top w:sz="0"/>
              <w:left w:val="single" w:color="000000" w:themeColor="text1" w:sz="0"/>
              <w:bottom w:sz="0"/>
              <w:right w:val="single" w:color="000000" w:themeColor="text1" w:sz="0"/>
            </w:tcBorders>
            <w:tcMar/>
            <w:vAlign w:val="center"/>
          </w:tcPr>
          <w:p w14:paraId="03C2F4C2"/>
        </w:tc>
        <w:tc>
          <w:tcPr>
            <w:tcW w:w="7192"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038728B0" w:rsidRDefault="038728B0" w14:paraId="11526158" w14:textId="49D0D5C3">
            <w:r w:rsidRPr="038728B0" w:rsidR="038728B0">
              <w:rPr>
                <w:rFonts w:ascii="Calibri" w:hAnsi="Calibri" w:eastAsia="Calibri" w:cs="Calibri"/>
                <w:b w:val="0"/>
                <w:bCs w:val="0"/>
                <w:i w:val="0"/>
                <w:iCs w:val="0"/>
                <w:strike w:val="0"/>
                <w:dstrike w:val="0"/>
                <w:color w:val="000000" w:themeColor="text1" w:themeTint="FF" w:themeShade="FF"/>
                <w:sz w:val="22"/>
                <w:szCs w:val="22"/>
                <w:u w:val="none"/>
              </w:rPr>
              <w:t xml:space="preserve">Saberes compartidos: Integrando desde la interdisciplinariedad  </w:t>
            </w:r>
          </w:p>
        </w:tc>
      </w:tr>
      <w:tr w:rsidR="038728B0" w:rsidTr="038728B0" w14:paraId="24747AE4">
        <w:trPr>
          <w:trHeight w:val="300"/>
        </w:trPr>
        <w:tc>
          <w:tcPr>
            <w:tcW w:w="1935" w:type="dxa"/>
            <w:vMerge/>
            <w:tcBorders>
              <w:top w:val="single" w:color="000000" w:themeColor="text1" w:sz="0"/>
              <w:left w:val="single" w:color="000000" w:themeColor="text1" w:sz="0"/>
              <w:bottom w:val="single" w:color="000000" w:themeColor="text1" w:sz="0"/>
              <w:right w:val="single" w:color="000000" w:themeColor="text1" w:sz="0"/>
            </w:tcBorders>
            <w:tcMar/>
            <w:vAlign w:val="center"/>
          </w:tcPr>
          <w:p w14:paraId="0FE32734"/>
        </w:tc>
        <w:tc>
          <w:tcPr>
            <w:tcW w:w="7192"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038728B0" w:rsidRDefault="038728B0" w14:paraId="39279D81" w14:textId="7C47199A">
            <w:r w:rsidRPr="038728B0" w:rsidR="038728B0">
              <w:rPr>
                <w:rFonts w:ascii="Calibri" w:hAnsi="Calibri" w:eastAsia="Calibri" w:cs="Calibri"/>
                <w:b w:val="0"/>
                <w:bCs w:val="0"/>
                <w:i w:val="0"/>
                <w:iCs w:val="0"/>
                <w:strike w:val="0"/>
                <w:dstrike w:val="0"/>
                <w:color w:val="000000" w:themeColor="text1" w:themeTint="FF" w:themeShade="FF"/>
                <w:sz w:val="22"/>
                <w:szCs w:val="22"/>
                <w:u w:val="none"/>
              </w:rPr>
              <w:t>Sostenibilidad ambiental</w:t>
            </w:r>
          </w:p>
        </w:tc>
      </w:tr>
    </w:tbl>
    <w:p w:rsidR="038728B0" w:rsidP="038728B0" w:rsidRDefault="038728B0" w14:paraId="4DA8B8D0" w14:textId="4367903E">
      <w:pPr>
        <w:pStyle w:val="Normal"/>
        <w:jc w:val="center"/>
        <w:rPr>
          <w:b w:val="1"/>
          <w:bCs w:val="1"/>
        </w:rPr>
      </w:pPr>
    </w:p>
    <w:p w:rsidR="6531BD97" w:rsidRDefault="6531BD97" w14:paraId="48D1445E" w14:textId="0412AD52">
      <w:r>
        <w:br w:type="page"/>
      </w:r>
    </w:p>
    <w:p w:rsidR="038728B0" w:rsidP="038728B0" w:rsidRDefault="038728B0" w14:paraId="240AC17F" w14:textId="36AA3420">
      <w:pPr>
        <w:pStyle w:val="Normal"/>
        <w:jc w:val="center"/>
        <w:rPr>
          <w:b w:val="1"/>
          <w:bCs w:val="1"/>
        </w:rPr>
      </w:pPr>
      <w:r w:rsidRPr="038728B0" w:rsidR="038728B0">
        <w:rPr>
          <w:b w:val="1"/>
          <w:bCs w:val="1"/>
        </w:rPr>
        <w:t>Número de CAD por año</w:t>
      </w:r>
    </w:p>
    <w:p w:rsidR="038728B0" w:rsidP="038728B0" w:rsidRDefault="038728B0" w14:paraId="2E123E56" w14:textId="224178FA">
      <w:pPr>
        <w:jc w:val="center"/>
      </w:pPr>
      <w:r w:rsidR="2E653307">
        <w:drawing>
          <wp:inline wp14:editId="74E6C8F7" wp14:anchorId="47099D15">
            <wp:extent cx="5921970" cy="3667801"/>
            <wp:effectExtent l="0" t="0" r="0" b="0"/>
            <wp:docPr id="1238518121" name="" title=""/>
            <wp:cNvGraphicFramePr>
              <a:graphicFrameLocks noChangeAspect="1"/>
            </wp:cNvGraphicFramePr>
            <a:graphic>
              <a:graphicData uri="http://schemas.openxmlformats.org/drawingml/2006/picture">
                <pic:pic>
                  <pic:nvPicPr>
                    <pic:cNvPr id="0" name=""/>
                    <pic:cNvPicPr/>
                  </pic:nvPicPr>
                  <pic:blipFill>
                    <a:blip r:embed="R84dcc59bd87c46bb">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921970" cy="3667801"/>
                    </a:xfrm>
                    <a:prstGeom prst="rect">
                      <a:avLst/>
                    </a:prstGeom>
                  </pic:spPr>
                </pic:pic>
              </a:graphicData>
            </a:graphic>
          </wp:inline>
        </w:drawing>
      </w:r>
    </w:p>
    <w:p w:rsidR="038728B0" w:rsidP="6531BD97" w:rsidRDefault="038728B0" w14:paraId="2297027B" w14:textId="3212603E">
      <w:pPr>
        <w:pStyle w:val="Normal"/>
        <w:jc w:val="center"/>
        <w:rPr>
          <w:b w:val="1"/>
          <w:bCs w:val="1"/>
        </w:rPr>
      </w:pPr>
    </w:p>
    <w:p w:rsidR="038728B0" w:rsidP="6531BD97" w:rsidRDefault="038728B0" w14:paraId="347BDDE7" w14:textId="55A56BE2">
      <w:pPr>
        <w:pStyle w:val="Normal"/>
        <w:jc w:val="center"/>
        <w:rPr>
          <w:b w:val="1"/>
          <w:bCs w:val="1"/>
        </w:rPr>
      </w:pPr>
    </w:p>
    <w:p w:rsidR="038728B0" w:rsidP="6531BD97" w:rsidRDefault="038728B0" w14:paraId="3C94056C" w14:textId="1810B1EE">
      <w:pPr>
        <w:pStyle w:val="Normal"/>
        <w:jc w:val="center"/>
        <w:rPr>
          <w:b w:val="1"/>
          <w:bCs w:val="1"/>
        </w:rPr>
      </w:pPr>
      <w:r>
        <w:br w:type="page"/>
      </w:r>
      <w:r w:rsidRPr="6531BD97" w:rsidR="2E653307">
        <w:rPr>
          <w:b w:val="1"/>
          <w:bCs w:val="1"/>
        </w:rPr>
        <w:t>Número de participantes por año</w:t>
      </w:r>
    </w:p>
    <w:p w:rsidR="038728B0" w:rsidP="038728B0" w:rsidRDefault="038728B0" w14:paraId="03BE9854" w14:textId="345625E0">
      <w:pPr>
        <w:pStyle w:val="Normal"/>
      </w:pPr>
      <w:r w:rsidR="2E653307">
        <w:drawing>
          <wp:inline wp14:editId="10524FBE" wp14:anchorId="424A4B6D">
            <wp:extent cx="5724525" cy="3446642"/>
            <wp:effectExtent l="0" t="0" r="0" b="0"/>
            <wp:docPr id="1611180024" name="" title=""/>
            <wp:cNvGraphicFramePr>
              <a:graphicFrameLocks noChangeAspect="1"/>
            </wp:cNvGraphicFramePr>
            <a:graphic>
              <a:graphicData uri="http://schemas.openxmlformats.org/drawingml/2006/picture">
                <pic:pic>
                  <pic:nvPicPr>
                    <pic:cNvPr id="0" name=""/>
                    <pic:cNvPicPr/>
                  </pic:nvPicPr>
                  <pic:blipFill>
                    <a:blip r:embed="Rc858bfd091974d3a">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5724525" cy="3446642"/>
                    </a:xfrm>
                    <a:prstGeom xmlns:a="http://schemas.openxmlformats.org/drawingml/2006/main" prst="rect">
                      <a:avLst/>
                    </a:prstGeom>
                  </pic:spPr>
                </pic:pic>
              </a:graphicData>
            </a:graphic>
          </wp:inline>
        </w:drawing>
      </w:r>
    </w:p>
    <w:p w:rsidR="038728B0" w:rsidP="6531BD97" w:rsidRDefault="038728B0" w14:paraId="374CFBAB" w14:textId="74A6C172">
      <w:pPr>
        <w:rPr>
          <w:b w:val="1"/>
          <w:bCs w:val="1"/>
        </w:rPr>
      </w:pPr>
      <w:r>
        <w:br w:type="page"/>
      </w:r>
      <w:r w:rsidRPr="6531BD97" w:rsidR="6531BD97">
        <w:rPr>
          <w:b w:val="1"/>
          <w:bCs w:val="1"/>
        </w:rPr>
        <w:t>Ejemplos de algunos productos derivados</w:t>
      </w:r>
    </w:p>
    <w:p w:rsidR="038728B0" w:rsidP="6531BD97" w:rsidRDefault="038728B0" w14:paraId="549EEF62" w14:textId="7E88ADE6">
      <w:pPr>
        <w:pStyle w:val="ListParagraph"/>
        <w:numPr>
          <w:ilvl w:val="0"/>
          <w:numId w:val="1"/>
        </w:numPr>
        <w:jc w:val="both"/>
        <w:rPr/>
      </w:pPr>
      <w:r w:rsidR="6531BD97">
        <w:rPr/>
        <w:t xml:space="preserve">Paredes, Durango, </w:t>
      </w:r>
      <w:proofErr w:type="spellStart"/>
      <w:r w:rsidR="6531BD97">
        <w:rPr/>
        <w:t>Gonzakez,Henao</w:t>
      </w:r>
      <w:proofErr w:type="spellEnd"/>
      <w:r w:rsidR="6531BD97">
        <w:rPr/>
        <w:t xml:space="preserve">, </w:t>
      </w:r>
      <w:proofErr w:type="spellStart"/>
      <w:r w:rsidR="6531BD97">
        <w:rPr/>
        <w:t>Jimenez</w:t>
      </w:r>
      <w:proofErr w:type="spellEnd"/>
      <w:r w:rsidR="6531BD97">
        <w:rPr/>
        <w:t xml:space="preserve">, </w:t>
      </w:r>
      <w:proofErr w:type="spellStart"/>
      <w:r w:rsidR="6531BD97">
        <w:rPr/>
        <w:t>Gomez</w:t>
      </w:r>
      <w:proofErr w:type="spellEnd"/>
      <w:r w:rsidR="6531BD97">
        <w:rPr/>
        <w:t xml:space="preserve">, </w:t>
      </w:r>
      <w:proofErr w:type="gramStart"/>
      <w:r w:rsidR="6531BD97">
        <w:rPr/>
        <w:t>Yepes,(</w:t>
      </w:r>
      <w:proofErr w:type="gramEnd"/>
      <w:r w:rsidR="6531BD97">
        <w:rPr/>
        <w:t xml:space="preserve">2021) </w:t>
      </w:r>
      <w:proofErr w:type="spellStart"/>
      <w:r w:rsidR="6531BD97">
        <w:rPr/>
        <w:t>Influence</w:t>
      </w:r>
      <w:proofErr w:type="spellEnd"/>
      <w:r w:rsidR="6531BD97">
        <w:rPr/>
        <w:t xml:space="preserve"> </w:t>
      </w:r>
      <w:proofErr w:type="spellStart"/>
      <w:r w:rsidR="6531BD97">
        <w:rPr/>
        <w:t>of</w:t>
      </w:r>
      <w:proofErr w:type="spellEnd"/>
      <w:r w:rsidR="6531BD97">
        <w:rPr/>
        <w:t xml:space="preserve"> </w:t>
      </w:r>
      <w:proofErr w:type="spellStart"/>
      <w:r w:rsidR="6531BD97">
        <w:rPr/>
        <w:t>academic</w:t>
      </w:r>
      <w:proofErr w:type="spellEnd"/>
      <w:r w:rsidR="6531BD97">
        <w:rPr/>
        <w:t xml:space="preserve"> </w:t>
      </w:r>
      <w:proofErr w:type="spellStart"/>
      <w:r w:rsidR="6531BD97">
        <w:rPr/>
        <w:t>education</w:t>
      </w:r>
      <w:proofErr w:type="spellEnd"/>
      <w:r w:rsidR="6531BD97">
        <w:rPr/>
        <w:t xml:space="preserve"> </w:t>
      </w:r>
      <w:proofErr w:type="spellStart"/>
      <w:r w:rsidR="6531BD97">
        <w:rPr/>
        <w:t>imparted</w:t>
      </w:r>
      <w:proofErr w:type="spellEnd"/>
      <w:r w:rsidR="6531BD97">
        <w:rPr/>
        <w:t xml:space="preserve"> in </w:t>
      </w:r>
      <w:proofErr w:type="spellStart"/>
      <w:r w:rsidR="6531BD97">
        <w:rPr/>
        <w:t>basic</w:t>
      </w:r>
      <w:proofErr w:type="spellEnd"/>
      <w:r w:rsidR="6531BD97">
        <w:rPr/>
        <w:t xml:space="preserve"> </w:t>
      </w:r>
      <w:proofErr w:type="spellStart"/>
      <w:r w:rsidR="6531BD97">
        <w:rPr/>
        <w:t>sciences</w:t>
      </w:r>
      <w:proofErr w:type="spellEnd"/>
      <w:r w:rsidR="6531BD97">
        <w:rPr/>
        <w:t xml:space="preserve"> </w:t>
      </w:r>
      <w:proofErr w:type="spellStart"/>
      <w:r w:rsidR="6531BD97">
        <w:rPr/>
        <w:t>on</w:t>
      </w:r>
      <w:proofErr w:type="spellEnd"/>
      <w:r w:rsidR="6531BD97">
        <w:rPr/>
        <w:t xml:space="preserve"> </w:t>
      </w:r>
      <w:proofErr w:type="spellStart"/>
      <w:r w:rsidR="6531BD97">
        <w:rPr/>
        <w:t>the</w:t>
      </w:r>
      <w:proofErr w:type="spellEnd"/>
      <w:r w:rsidR="6531BD97">
        <w:rPr/>
        <w:t xml:space="preserve"> </w:t>
      </w:r>
      <w:proofErr w:type="spellStart"/>
      <w:r w:rsidR="6531BD97">
        <w:rPr/>
        <w:t>scientific</w:t>
      </w:r>
      <w:proofErr w:type="spellEnd"/>
      <w:r w:rsidR="6531BD97">
        <w:rPr/>
        <w:t xml:space="preserve"> </w:t>
      </w:r>
      <w:proofErr w:type="spellStart"/>
      <w:r w:rsidR="6531BD97">
        <w:rPr/>
        <w:t>reasoning</w:t>
      </w:r>
      <w:proofErr w:type="spellEnd"/>
      <w:r w:rsidR="6531BD97">
        <w:rPr/>
        <w:t xml:space="preserve"> </w:t>
      </w:r>
      <w:proofErr w:type="spellStart"/>
      <w:r w:rsidR="6531BD97">
        <w:rPr/>
        <w:t>skills</w:t>
      </w:r>
      <w:proofErr w:type="spellEnd"/>
      <w:r w:rsidR="6531BD97">
        <w:rPr/>
        <w:t xml:space="preserve"> </w:t>
      </w:r>
      <w:proofErr w:type="spellStart"/>
      <w:r w:rsidR="6531BD97">
        <w:rPr/>
        <w:t>of</w:t>
      </w:r>
      <w:proofErr w:type="spellEnd"/>
      <w:r w:rsidR="6531BD97">
        <w:rPr/>
        <w:t xml:space="preserve"> </w:t>
      </w:r>
      <w:proofErr w:type="spellStart"/>
      <w:r w:rsidR="6531BD97">
        <w:rPr/>
        <w:t>engineering</w:t>
      </w:r>
      <w:proofErr w:type="spellEnd"/>
      <w:r w:rsidR="6531BD97">
        <w:rPr/>
        <w:t xml:space="preserve"> </w:t>
      </w:r>
      <w:proofErr w:type="spellStart"/>
      <w:r w:rsidR="6531BD97">
        <w:rPr/>
        <w:t>students</w:t>
      </w:r>
      <w:proofErr w:type="spellEnd"/>
      <w:r w:rsidR="6531BD97">
        <w:rPr/>
        <w:t xml:space="preserve">, </w:t>
      </w:r>
      <w:proofErr w:type="spellStart"/>
      <w:r w:rsidR="6531BD97">
        <w:rPr/>
        <w:t>Proceedings</w:t>
      </w:r>
      <w:proofErr w:type="spellEnd"/>
      <w:r w:rsidR="6531BD97">
        <w:rPr/>
        <w:t xml:space="preserve"> </w:t>
      </w:r>
      <w:proofErr w:type="spellStart"/>
      <w:r w:rsidR="6531BD97">
        <w:rPr/>
        <w:t>of</w:t>
      </w:r>
      <w:proofErr w:type="spellEnd"/>
      <w:r w:rsidR="6531BD97">
        <w:rPr/>
        <w:t xml:space="preserve"> REES AAEE 2021 presentado en </w:t>
      </w:r>
      <w:proofErr w:type="spellStart"/>
      <w:r w:rsidR="6531BD97">
        <w:rPr/>
        <w:t>Research</w:t>
      </w:r>
      <w:proofErr w:type="spellEnd"/>
      <w:r w:rsidR="6531BD97">
        <w:rPr/>
        <w:t xml:space="preserve"> in </w:t>
      </w:r>
      <w:proofErr w:type="spellStart"/>
      <w:r w:rsidR="6531BD97">
        <w:rPr/>
        <w:t>engineering</w:t>
      </w:r>
      <w:proofErr w:type="spellEnd"/>
      <w:r w:rsidR="6531BD97">
        <w:rPr/>
        <w:t xml:space="preserve"> </w:t>
      </w:r>
      <w:proofErr w:type="spellStart"/>
      <w:r w:rsidR="6531BD97">
        <w:rPr/>
        <w:t>education</w:t>
      </w:r>
      <w:proofErr w:type="spellEnd"/>
      <w:r w:rsidR="6531BD97">
        <w:rPr/>
        <w:t xml:space="preserve"> </w:t>
      </w:r>
      <w:proofErr w:type="spellStart"/>
      <w:r w:rsidR="6531BD97">
        <w:rPr/>
        <w:t>symposium</w:t>
      </w:r>
      <w:proofErr w:type="spellEnd"/>
      <w:r w:rsidR="6531BD97">
        <w:rPr/>
        <w:t xml:space="preserve"> &amp; </w:t>
      </w:r>
      <w:proofErr w:type="spellStart"/>
      <w:r w:rsidR="6531BD97">
        <w:rPr/>
        <w:t>australian</w:t>
      </w:r>
      <w:proofErr w:type="spellEnd"/>
      <w:r w:rsidR="6531BD97">
        <w:rPr/>
        <w:t xml:space="preserve"> </w:t>
      </w:r>
      <w:proofErr w:type="spellStart"/>
      <w:r w:rsidR="6531BD97">
        <w:rPr/>
        <w:t>association</w:t>
      </w:r>
      <w:proofErr w:type="spellEnd"/>
      <w:r w:rsidR="6531BD97">
        <w:rPr/>
        <w:t xml:space="preserve"> </w:t>
      </w:r>
      <w:proofErr w:type="spellStart"/>
      <w:r w:rsidR="6531BD97">
        <w:rPr/>
        <w:t>for</w:t>
      </w:r>
      <w:proofErr w:type="spellEnd"/>
      <w:r w:rsidR="6531BD97">
        <w:rPr/>
        <w:t xml:space="preserve"> </w:t>
      </w:r>
      <w:proofErr w:type="spellStart"/>
      <w:r w:rsidR="6531BD97">
        <w:rPr/>
        <w:t>engineering</w:t>
      </w:r>
      <w:proofErr w:type="spellEnd"/>
      <w:r w:rsidR="6531BD97">
        <w:rPr/>
        <w:t xml:space="preserve"> </w:t>
      </w:r>
      <w:proofErr w:type="spellStart"/>
      <w:r w:rsidR="6531BD97">
        <w:rPr/>
        <w:t>education</w:t>
      </w:r>
      <w:proofErr w:type="spellEnd"/>
      <w:r w:rsidR="6531BD97">
        <w:rPr/>
        <w:t xml:space="preserve"> </w:t>
      </w:r>
      <w:proofErr w:type="spellStart"/>
      <w:r w:rsidR="6531BD97">
        <w:rPr/>
        <w:t>conference</w:t>
      </w:r>
      <w:proofErr w:type="spellEnd"/>
      <w:r w:rsidR="6531BD97">
        <w:rPr/>
        <w:t xml:space="preserve">, https://aaee.net.au/wp-content/uploads/2021/11/REES_AAEE_2021_paper_316.pdf, NA </w:t>
      </w:r>
    </w:p>
    <w:p w:rsidR="038728B0" w:rsidP="6531BD97" w:rsidRDefault="038728B0" w14:paraId="6D57645E" w14:textId="57B36C71">
      <w:pPr>
        <w:pStyle w:val="ListParagraph"/>
        <w:numPr>
          <w:ilvl w:val="0"/>
          <w:numId w:val="1"/>
        </w:numPr>
        <w:jc w:val="both"/>
        <w:rPr/>
      </w:pPr>
      <w:r w:rsidR="6531BD97">
        <w:rPr/>
        <w:t>Rey, L. y Corrales, K. (</w:t>
      </w:r>
      <w:proofErr w:type="spellStart"/>
      <w:r w:rsidR="6531BD97">
        <w:rPr/>
        <w:t>Eds</w:t>
      </w:r>
      <w:proofErr w:type="spellEnd"/>
      <w:r w:rsidR="6531BD97">
        <w:rPr/>
        <w:t xml:space="preserve">) (En proceso de publicación) La internacionalización de la educación superior: De la institución al aula. </w:t>
      </w:r>
      <w:r w:rsidR="6531BD97">
        <w:rPr/>
        <w:t>Ediciones</w:t>
      </w:r>
      <w:r w:rsidR="6531BD97">
        <w:rPr/>
        <w:t xml:space="preserve"> </w:t>
      </w:r>
      <w:proofErr w:type="spellStart"/>
      <w:r w:rsidR="6531BD97">
        <w:rPr/>
        <w:t>uninrote</w:t>
      </w:r>
      <w:proofErr w:type="spellEnd"/>
    </w:p>
    <w:p w:rsidR="038728B0" w:rsidP="6531BD97" w:rsidRDefault="038728B0" w14:paraId="0F96BF67" w14:textId="61050F8E">
      <w:pPr>
        <w:pStyle w:val="ListParagraph"/>
        <w:numPr>
          <w:ilvl w:val="0"/>
          <w:numId w:val="1"/>
        </w:numPr>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6531BD97" w:rsidR="6531BD97">
        <w:rPr>
          <w:noProof w:val="0"/>
          <w:lang w:val="es-ES"/>
        </w:rPr>
        <w:t xml:space="preserve">Ricardo, C., Peñuela, M., Lombana, J., Guevara, C., </w:t>
      </w:r>
      <w:r w:rsidRPr="6531BD97" w:rsidR="6531BD97">
        <w:rPr>
          <w:noProof w:val="0"/>
          <w:lang w:val="es-ES"/>
        </w:rPr>
        <w:t>Ramírez</w:t>
      </w:r>
      <w:r w:rsidRPr="6531BD97" w:rsidR="6531BD97">
        <w:rPr>
          <w:noProof w:val="0"/>
          <w:lang w:val="es-ES"/>
        </w:rPr>
        <w:t xml:space="preserve">, M., Cano, J (Sometido a </w:t>
      </w:r>
      <w:r w:rsidRPr="6531BD97" w:rsidR="6531BD97">
        <w:rPr>
          <w:noProof w:val="0"/>
          <w:lang w:val="es-ES"/>
        </w:rPr>
        <w:t>publicación</w:t>
      </w:r>
      <w:r w:rsidRPr="6531BD97" w:rsidR="6531BD97">
        <w:rPr>
          <w:noProof w:val="0"/>
          <w:lang w:val="es-ES"/>
        </w:rPr>
        <w:t>) Transformaciones de la Competencia Intercultural de los profesores participantes en una Comunidad de Aprendizaje Docente: Caso de estudio Universidad del Norte</w:t>
      </w:r>
    </w:p>
    <w:p w:rsidR="038728B0" w:rsidP="6531BD97" w:rsidRDefault="038728B0" w14:paraId="096840D2" w14:textId="610F6D67">
      <w:pPr>
        <w:pStyle w:val="ListParagraph"/>
        <w:numPr>
          <w:ilvl w:val="0"/>
          <w:numId w:val="1"/>
        </w:numPr>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6531BD97" w:rsidR="6531BD97">
        <w:rPr>
          <w:rFonts w:ascii="Arial" w:hAnsi="Arial" w:eastAsia="Arial" w:cs="Arial"/>
          <w:b w:val="0"/>
          <w:bCs w:val="0"/>
          <w:i w:val="0"/>
          <w:iCs w:val="0"/>
          <w:strike w:val="0"/>
          <w:dstrike w:val="0"/>
          <w:noProof w:val="0"/>
          <w:color w:val="000000" w:themeColor="text1" w:themeTint="FF" w:themeShade="FF"/>
          <w:sz w:val="22"/>
          <w:szCs w:val="22"/>
          <w:u w:val="none"/>
          <w:lang w:val="es-ES"/>
        </w:rPr>
        <w:t>Domínguez, E. (</w:t>
      </w:r>
      <w:proofErr w:type="spellStart"/>
      <w:r w:rsidRPr="6531BD97" w:rsidR="6531BD97">
        <w:rPr>
          <w:rFonts w:ascii="Arial" w:hAnsi="Arial" w:eastAsia="Arial" w:cs="Arial"/>
          <w:b w:val="0"/>
          <w:bCs w:val="0"/>
          <w:i w:val="0"/>
          <w:iCs w:val="0"/>
          <w:strike w:val="0"/>
          <w:dstrike w:val="0"/>
          <w:noProof w:val="0"/>
          <w:color w:val="000000" w:themeColor="text1" w:themeTint="FF" w:themeShade="FF"/>
          <w:sz w:val="22"/>
          <w:szCs w:val="22"/>
          <w:u w:val="none"/>
          <w:lang w:val="es-ES"/>
        </w:rPr>
        <w:t>Eds</w:t>
      </w:r>
      <w:proofErr w:type="spellEnd"/>
      <w:r w:rsidRPr="6531BD97" w:rsidR="6531BD97">
        <w:rPr>
          <w:rFonts w:ascii="Arial" w:hAnsi="Arial" w:eastAsia="Arial" w:cs="Arial"/>
          <w:b w:val="0"/>
          <w:bCs w:val="0"/>
          <w:i w:val="0"/>
          <w:iCs w:val="0"/>
          <w:strike w:val="0"/>
          <w:dstrike w:val="0"/>
          <w:noProof w:val="0"/>
          <w:color w:val="000000" w:themeColor="text1" w:themeTint="FF" w:themeShade="FF"/>
          <w:sz w:val="22"/>
          <w:szCs w:val="22"/>
          <w:u w:val="none"/>
          <w:lang w:val="es-ES"/>
        </w:rPr>
        <w:t>)  (sometido a publicación) Libro Contagio emocional</w:t>
      </w:r>
    </w:p>
    <w:p w:rsidR="038728B0" w:rsidP="6531BD97" w:rsidRDefault="038728B0" w14:paraId="036B40F9" w14:textId="64146F42">
      <w:pPr>
        <w:pStyle w:val="ListParagraph"/>
        <w:numPr>
          <w:ilvl w:val="0"/>
          <w:numId w:val="1"/>
        </w:numPr>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6531BD97" w:rsidR="6531BD97">
        <w:rPr>
          <w:rFonts w:ascii="Arial" w:hAnsi="Arial" w:eastAsia="Arial" w:cs="Arial"/>
          <w:b w:val="0"/>
          <w:bCs w:val="0"/>
          <w:i w:val="0"/>
          <w:iCs w:val="0"/>
          <w:strike w:val="0"/>
          <w:dstrike w:val="0"/>
          <w:noProof w:val="0"/>
          <w:color w:val="000000" w:themeColor="text1" w:themeTint="FF" w:themeShade="FF"/>
          <w:sz w:val="22"/>
          <w:szCs w:val="22"/>
          <w:u w:val="none"/>
          <w:lang w:val="es-ES"/>
        </w:rPr>
        <w:t>Lecompte</w:t>
      </w:r>
      <w:r w:rsidRPr="6531BD97" w:rsidR="6531BD9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N. y </w:t>
      </w:r>
      <w:r w:rsidRPr="6531BD97" w:rsidR="6531BD97">
        <w:rPr>
          <w:rFonts w:ascii="Arial" w:hAnsi="Arial" w:eastAsia="Arial" w:cs="Arial"/>
          <w:b w:val="0"/>
          <w:bCs w:val="0"/>
          <w:i w:val="0"/>
          <w:iCs w:val="0"/>
          <w:strike w:val="0"/>
          <w:dstrike w:val="0"/>
          <w:noProof w:val="0"/>
          <w:color w:val="000000" w:themeColor="text1" w:themeTint="FF" w:themeShade="FF"/>
          <w:sz w:val="22"/>
          <w:szCs w:val="22"/>
          <w:u w:val="none"/>
          <w:lang w:val="es-ES"/>
        </w:rPr>
        <w:t>Rios</w:t>
      </w:r>
      <w:r w:rsidRPr="6531BD97" w:rsidR="6531BD9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A (2020) ponencia Uso de juegos serios en un curso de promoción de la salud, para mejorar la comprensión de la temática sobre el Modelo de Salud vigente en Colombia, presentada en el Foro de la red innova Cesal. </w:t>
      </w:r>
      <w:hyperlink r:id="R3b40682663a34169">
        <w:r w:rsidRPr="6531BD97" w:rsidR="6531BD97">
          <w:rPr>
            <w:rStyle w:val="Hyperlink"/>
            <w:rFonts w:ascii="Arial" w:hAnsi="Arial" w:eastAsia="Arial" w:cs="Arial"/>
            <w:b w:val="0"/>
            <w:bCs w:val="0"/>
            <w:i w:val="0"/>
            <w:iCs w:val="0"/>
            <w:strike w:val="0"/>
            <w:dstrike w:val="0"/>
            <w:noProof w:val="0"/>
            <w:sz w:val="22"/>
            <w:szCs w:val="22"/>
            <w:lang w:val="es-ES"/>
          </w:rPr>
          <w:t>http://www.innovacesal.org/redic_gamificacion/redic_reportes_finales_gamificacion_foro2018/06/06.pdf</w:t>
        </w:r>
      </w:hyperlink>
      <w:r w:rsidRPr="6531BD97" w:rsidR="6531BD9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p>
    <w:p w:rsidR="038728B0" w:rsidP="6531BD97" w:rsidRDefault="038728B0" w14:paraId="46E93425" w14:textId="3069DB0B">
      <w:pPr>
        <w:pStyle w:val="ListParagraph"/>
        <w:numPr>
          <w:ilvl w:val="0"/>
          <w:numId w:val="1"/>
        </w:numPr>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6531BD97" w:rsidR="6531BD9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Romero, P. video </w:t>
      </w:r>
      <w:r w:rsidRPr="6531BD97" w:rsidR="6531BD9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educativo </w:t>
      </w:r>
      <w:r w:rsidRPr="6531BD97" w:rsidR="6531BD9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Errores de la ciencia ficción sobre Acueductos y Alcantarillados. </w:t>
      </w:r>
      <w:hyperlink r:id="R6ebca1fc050e4ae8">
        <w:r w:rsidRPr="6531BD97" w:rsidR="6531BD97">
          <w:rPr>
            <w:rStyle w:val="Hyperlink"/>
            <w:rFonts w:ascii="Arial" w:hAnsi="Arial" w:eastAsia="Arial" w:cs="Arial"/>
            <w:b w:val="0"/>
            <w:bCs w:val="0"/>
            <w:i w:val="0"/>
            <w:iCs w:val="0"/>
            <w:strike w:val="0"/>
            <w:dstrike w:val="0"/>
            <w:noProof w:val="0"/>
            <w:sz w:val="22"/>
            <w:szCs w:val="22"/>
            <w:lang w:val="es-ES"/>
          </w:rPr>
          <w:t>https://www.youtube.com/watch?v=Yx3ZP14DDp4</w:t>
        </w:r>
      </w:hyperlink>
      <w:r w:rsidRPr="6531BD97" w:rsidR="6531BD9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34f233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6529F0"/>
    <w:rsid w:val="004F87EE"/>
    <w:rsid w:val="004F87EE"/>
    <w:rsid w:val="032847A0"/>
    <w:rsid w:val="038728B0"/>
    <w:rsid w:val="0BB290C7"/>
    <w:rsid w:val="1314AB41"/>
    <w:rsid w:val="1F474A08"/>
    <w:rsid w:val="20D6721E"/>
    <w:rsid w:val="220991C2"/>
    <w:rsid w:val="2B80842B"/>
    <w:rsid w:val="2E653307"/>
    <w:rsid w:val="2F8E2BFC"/>
    <w:rsid w:val="3129FC5D"/>
    <w:rsid w:val="32A9BB97"/>
    <w:rsid w:val="32C5CCBE"/>
    <w:rsid w:val="3434A833"/>
    <w:rsid w:val="34619D1F"/>
    <w:rsid w:val="38177D91"/>
    <w:rsid w:val="3BFF1947"/>
    <w:rsid w:val="3D1A6243"/>
    <w:rsid w:val="3D1A6243"/>
    <w:rsid w:val="3D9AE9A8"/>
    <w:rsid w:val="3F3FDB8F"/>
    <w:rsid w:val="4178D46D"/>
    <w:rsid w:val="4178D46D"/>
    <w:rsid w:val="486DEB1A"/>
    <w:rsid w:val="4C5586D0"/>
    <w:rsid w:val="4D766B86"/>
    <w:rsid w:val="4EF93DC5"/>
    <w:rsid w:val="5324A17A"/>
    <w:rsid w:val="53A08647"/>
    <w:rsid w:val="544730ED"/>
    <w:rsid w:val="54C07A71"/>
    <w:rsid w:val="55E8F013"/>
    <w:rsid w:val="566529F0"/>
    <w:rsid w:val="624CA822"/>
    <w:rsid w:val="6531BD97"/>
    <w:rsid w:val="71636FD6"/>
    <w:rsid w:val="7358D694"/>
    <w:rsid w:val="74DB7E98"/>
    <w:rsid w:val="76C1CE04"/>
    <w:rsid w:val="77F70E33"/>
    <w:rsid w:val="77F70E33"/>
    <w:rsid w:val="7BF76111"/>
    <w:rsid w:val="7FE8F7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529F0"/>
  <w15:chartTrackingRefBased/>
  <w15:docId w15:val="{21E1780F-2E0E-4680-AB15-592DE496FB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3.png" Id="R84dcc59bd87c46bb" /><Relationship Type="http://schemas.openxmlformats.org/officeDocument/2006/relationships/image" Target="/media/image4.png" Id="Rc858bfd091974d3a" /><Relationship Type="http://schemas.openxmlformats.org/officeDocument/2006/relationships/hyperlink" Target="http://www.innovacesal.org/redic_gamificacion/redic_reportes_finales_gamificacion_foro2018/06/06.pdf" TargetMode="External" Id="R3b40682663a34169" /><Relationship Type="http://schemas.openxmlformats.org/officeDocument/2006/relationships/hyperlink" Target="https://www.youtube.com/watch?v=Yx3ZP14DDp4" TargetMode="External" Id="R6ebca1fc050e4ae8" /><Relationship Type="http://schemas.openxmlformats.org/officeDocument/2006/relationships/numbering" Target="numbering.xml" Id="Rb7e083dec551491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2022-07-01T15:21:33.9250961Z</dcterms:created>
  <dcterms:modified xsi:type="dcterms:W3CDTF">2022-07-04T22:06:28.1890756Z</dcterms:modified>
  <dc:creator>Aislinn Rodriguez Brunal</dc:creator>
  <lastModifiedBy>Gina Lizeth Camargo De Luque</lastModifiedBy>
</coreProperties>
</file>